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E49" w:rsidRDefault="003B2E49">
      <w:pPr>
        <w:pStyle w:val="Default"/>
        <w:jc w:val="center"/>
        <w:rPr>
          <w:sz w:val="56"/>
          <w:szCs w:val="56"/>
        </w:rPr>
      </w:pPr>
    </w:p>
    <w:p w:rsidR="003B2E49" w:rsidRDefault="003B2E49">
      <w:pPr>
        <w:pStyle w:val="Default"/>
        <w:jc w:val="center"/>
        <w:rPr>
          <w:sz w:val="56"/>
          <w:szCs w:val="56"/>
        </w:rPr>
      </w:pPr>
    </w:p>
    <w:p w:rsidR="003B2E49" w:rsidRDefault="003B2E49">
      <w:pPr>
        <w:pStyle w:val="Default"/>
        <w:jc w:val="center"/>
        <w:rPr>
          <w:sz w:val="84"/>
          <w:szCs w:val="84"/>
        </w:rPr>
      </w:pPr>
    </w:p>
    <w:p w:rsidR="003B2E49" w:rsidRDefault="003B2E49">
      <w:pPr>
        <w:pStyle w:val="Default"/>
        <w:jc w:val="center"/>
        <w:rPr>
          <w:sz w:val="84"/>
          <w:szCs w:val="84"/>
        </w:rPr>
      </w:pPr>
    </w:p>
    <w:p w:rsidR="003B2E49" w:rsidRDefault="00A5413E">
      <w:pPr>
        <w:pStyle w:val="Default"/>
        <w:jc w:val="center"/>
        <w:rPr>
          <w:sz w:val="84"/>
          <w:szCs w:val="84"/>
        </w:rPr>
      </w:pPr>
      <w:r>
        <w:rPr>
          <w:rFonts w:hint="eastAsia"/>
          <w:sz w:val="84"/>
          <w:szCs w:val="84"/>
        </w:rPr>
        <w:t>2021年度</w:t>
      </w:r>
    </w:p>
    <w:p w:rsidR="003B2E49" w:rsidRDefault="00A5413E">
      <w:pPr>
        <w:pStyle w:val="Default"/>
        <w:jc w:val="center"/>
        <w:rPr>
          <w:sz w:val="84"/>
          <w:szCs w:val="84"/>
        </w:rPr>
      </w:pPr>
      <w:r>
        <w:rPr>
          <w:rFonts w:hint="eastAsia"/>
          <w:sz w:val="84"/>
          <w:szCs w:val="84"/>
        </w:rPr>
        <w:t>湖南省中医药研究院</w:t>
      </w:r>
    </w:p>
    <w:p w:rsidR="003B2E49" w:rsidRDefault="00A5413E">
      <w:pPr>
        <w:pStyle w:val="Default"/>
        <w:jc w:val="center"/>
        <w:rPr>
          <w:sz w:val="84"/>
          <w:szCs w:val="84"/>
        </w:rPr>
      </w:pPr>
      <w:r>
        <w:rPr>
          <w:rFonts w:hint="eastAsia"/>
          <w:sz w:val="84"/>
          <w:szCs w:val="84"/>
        </w:rPr>
        <w:t>部门决算</w:t>
      </w:r>
    </w:p>
    <w:p w:rsidR="003B2E49" w:rsidRDefault="003B2E49">
      <w:pPr>
        <w:pStyle w:val="Default"/>
        <w:jc w:val="center"/>
        <w:rPr>
          <w:sz w:val="56"/>
          <w:szCs w:val="56"/>
        </w:rPr>
      </w:pPr>
    </w:p>
    <w:p w:rsidR="003B2E49" w:rsidRDefault="003B2E49">
      <w:pPr>
        <w:pStyle w:val="Default"/>
        <w:jc w:val="center"/>
        <w:rPr>
          <w:sz w:val="56"/>
          <w:szCs w:val="56"/>
        </w:rPr>
      </w:pPr>
    </w:p>
    <w:p w:rsidR="003B2E49" w:rsidRDefault="003B2E49">
      <w:pPr>
        <w:pStyle w:val="Default"/>
        <w:jc w:val="center"/>
        <w:rPr>
          <w:sz w:val="56"/>
          <w:szCs w:val="56"/>
        </w:rPr>
      </w:pPr>
    </w:p>
    <w:p w:rsidR="003B2E49" w:rsidRDefault="003B2E49">
      <w:pPr>
        <w:pStyle w:val="Default"/>
        <w:jc w:val="center"/>
        <w:rPr>
          <w:sz w:val="56"/>
          <w:szCs w:val="56"/>
        </w:rPr>
      </w:pPr>
    </w:p>
    <w:p w:rsidR="003B2E49" w:rsidRDefault="003B2E49">
      <w:pPr>
        <w:pStyle w:val="Default"/>
        <w:jc w:val="center"/>
        <w:rPr>
          <w:sz w:val="32"/>
          <w:szCs w:val="32"/>
        </w:rPr>
      </w:pPr>
    </w:p>
    <w:p w:rsidR="003B2E49" w:rsidRDefault="003B2E49">
      <w:pPr>
        <w:pStyle w:val="Default"/>
        <w:jc w:val="center"/>
        <w:rPr>
          <w:sz w:val="32"/>
          <w:szCs w:val="32"/>
        </w:rPr>
      </w:pPr>
    </w:p>
    <w:p w:rsidR="003B2E49" w:rsidRDefault="003B2E49">
      <w:pPr>
        <w:pStyle w:val="Default"/>
        <w:jc w:val="center"/>
        <w:rPr>
          <w:sz w:val="32"/>
          <w:szCs w:val="32"/>
        </w:rPr>
      </w:pPr>
    </w:p>
    <w:p w:rsidR="003B2E49" w:rsidRDefault="003B2E49">
      <w:pPr>
        <w:pStyle w:val="Default"/>
        <w:jc w:val="center"/>
        <w:rPr>
          <w:sz w:val="32"/>
          <w:szCs w:val="32"/>
        </w:rPr>
      </w:pPr>
    </w:p>
    <w:p w:rsidR="003B2E49" w:rsidRDefault="003B2E49">
      <w:pPr>
        <w:pStyle w:val="Default"/>
        <w:jc w:val="center"/>
        <w:rPr>
          <w:sz w:val="32"/>
          <w:szCs w:val="32"/>
        </w:rPr>
      </w:pPr>
    </w:p>
    <w:p w:rsidR="003B2E49" w:rsidRDefault="003B2E49">
      <w:pPr>
        <w:pStyle w:val="Default"/>
        <w:spacing w:line="540" w:lineRule="exact"/>
        <w:jc w:val="center"/>
        <w:rPr>
          <w:sz w:val="56"/>
          <w:szCs w:val="56"/>
        </w:rPr>
      </w:pPr>
    </w:p>
    <w:p w:rsidR="003B2E49" w:rsidRDefault="003B2E49">
      <w:pPr>
        <w:pStyle w:val="Default"/>
        <w:spacing w:line="500" w:lineRule="exact"/>
        <w:jc w:val="center"/>
        <w:rPr>
          <w:b/>
          <w:sz w:val="36"/>
          <w:szCs w:val="28"/>
        </w:rPr>
      </w:pPr>
    </w:p>
    <w:p w:rsidR="003B2E49" w:rsidRDefault="003B2E49">
      <w:pPr>
        <w:pStyle w:val="Default"/>
        <w:spacing w:line="500" w:lineRule="exact"/>
        <w:jc w:val="center"/>
        <w:rPr>
          <w:b/>
          <w:sz w:val="36"/>
          <w:szCs w:val="28"/>
        </w:rPr>
      </w:pPr>
    </w:p>
    <w:p w:rsidR="003B2E49" w:rsidRDefault="00A5413E">
      <w:pPr>
        <w:pStyle w:val="Default"/>
        <w:spacing w:line="500" w:lineRule="exact"/>
        <w:jc w:val="center"/>
        <w:rPr>
          <w:b/>
          <w:sz w:val="36"/>
          <w:szCs w:val="28"/>
        </w:rPr>
      </w:pPr>
      <w:r>
        <w:rPr>
          <w:rFonts w:hint="eastAsia"/>
          <w:b/>
          <w:sz w:val="36"/>
          <w:szCs w:val="28"/>
        </w:rPr>
        <w:t>目录</w:t>
      </w:r>
    </w:p>
    <w:p w:rsidR="003B2E49" w:rsidRDefault="00A5413E">
      <w:pPr>
        <w:pStyle w:val="Default"/>
        <w:spacing w:line="500" w:lineRule="exact"/>
        <w:rPr>
          <w:rFonts w:ascii="仿宋_GB2312" w:hAnsi="仿宋_GB2312" w:cs="仿宋_GB2312"/>
          <w:b/>
          <w:sz w:val="28"/>
          <w:szCs w:val="28"/>
        </w:rPr>
      </w:pPr>
      <w:r>
        <w:rPr>
          <w:rFonts w:hint="eastAsia"/>
          <w:b/>
          <w:sz w:val="28"/>
          <w:szCs w:val="28"/>
        </w:rPr>
        <w:t>第</w:t>
      </w:r>
      <w:r w:rsidRPr="005868A4">
        <w:rPr>
          <w:rFonts w:hAnsi="仿宋_GB2312" w:hint="eastAsia"/>
          <w:b/>
          <w:sz w:val="28"/>
          <w:szCs w:val="28"/>
        </w:rPr>
        <w:t>一部分湖南省中医药研究院概况</w:t>
      </w: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3B2E49" w:rsidRDefault="00A5413E">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21年度部门决算表</w:t>
      </w: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w:t>
      </w:r>
      <w:r>
        <w:rPr>
          <w:rFonts w:asciiTheme="minorEastAsia" w:eastAsiaTheme="minorEastAsia" w:hAnsiTheme="minorEastAsia" w:cs="仿宋_GB2312" w:hint="eastAsia"/>
          <w:sz w:val="28"/>
          <w:szCs w:val="28"/>
        </w:rPr>
        <w:t>明细</w:t>
      </w:r>
      <w:r>
        <w:rPr>
          <w:rFonts w:asciiTheme="minorEastAsia" w:eastAsiaTheme="minorEastAsia" w:hAnsiTheme="minorEastAsia" w:cs="仿宋_GB2312"/>
          <w:sz w:val="28"/>
          <w:szCs w:val="28"/>
        </w:rPr>
        <w:t>表</w:t>
      </w: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3B2E49" w:rsidRDefault="00A5413E">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21年度部门决算情况说明</w:t>
      </w: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3B2E49" w:rsidRDefault="00A5413E">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3B2E49" w:rsidRDefault="00A5413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3B2E49" w:rsidRDefault="00A5413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3B2E49" w:rsidRDefault="00A5413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3B2E49" w:rsidRDefault="00A5413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3B2E49" w:rsidRDefault="00A5413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三公</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经费支出决算情况说明</w:t>
      </w:r>
    </w:p>
    <w:p w:rsidR="003B2E49" w:rsidRDefault="00A5413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3B2E49" w:rsidRDefault="00A5413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机关运行经费支出说明</w:t>
      </w:r>
    </w:p>
    <w:p w:rsidR="003B2E49" w:rsidRDefault="00A5413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十、一般性支出情况说明</w:t>
      </w:r>
    </w:p>
    <w:p w:rsidR="003B2E49" w:rsidRDefault="00A5413E">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十一、政府采购支出说明</w:t>
      </w:r>
    </w:p>
    <w:p w:rsidR="003B2E49" w:rsidRDefault="00A5413E">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十二、国有资产占用情况说明</w:t>
      </w:r>
    </w:p>
    <w:p w:rsidR="003B2E49" w:rsidRDefault="00A5413E">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lastRenderedPageBreak/>
        <w:t>十三、</w:t>
      </w:r>
      <w:r>
        <w:rPr>
          <w:rFonts w:asciiTheme="minorEastAsia" w:eastAsiaTheme="minorEastAsia" w:hAnsiTheme="minorEastAsia" w:cs="仿宋_GB2312" w:hint="eastAsia"/>
          <w:sz w:val="28"/>
          <w:szCs w:val="28"/>
        </w:rPr>
        <w:t>2021年</w:t>
      </w:r>
      <w:r>
        <w:rPr>
          <w:rFonts w:ascii="仿宋_GB2312" w:eastAsiaTheme="minorEastAsia" w:hAnsi="仿宋_GB2312" w:cs="仿宋_GB2312" w:hint="eastAsia"/>
          <w:sz w:val="28"/>
          <w:szCs w:val="28"/>
        </w:rPr>
        <w:t>度预算绩效情况说明</w:t>
      </w:r>
    </w:p>
    <w:p w:rsidR="003B2E49" w:rsidRDefault="00A5413E">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3B2E49" w:rsidRDefault="00A5413E">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3B2E49" w:rsidRDefault="003B2E49">
      <w:pPr>
        <w:jc w:val="center"/>
        <w:rPr>
          <w:sz w:val="72"/>
          <w:szCs w:val="72"/>
        </w:rPr>
      </w:pPr>
    </w:p>
    <w:p w:rsidR="003B2E49" w:rsidRDefault="003B2E49">
      <w:pPr>
        <w:jc w:val="center"/>
        <w:rPr>
          <w:sz w:val="72"/>
          <w:szCs w:val="72"/>
        </w:rPr>
      </w:pPr>
    </w:p>
    <w:p w:rsidR="003B2E49" w:rsidRDefault="003B2E49">
      <w:pPr>
        <w:jc w:val="center"/>
        <w:rPr>
          <w:sz w:val="72"/>
          <w:szCs w:val="72"/>
        </w:rPr>
      </w:pPr>
    </w:p>
    <w:p w:rsidR="003B2E49" w:rsidRDefault="003B2E49">
      <w:pPr>
        <w:jc w:val="center"/>
        <w:rPr>
          <w:sz w:val="72"/>
          <w:szCs w:val="72"/>
        </w:rPr>
      </w:pPr>
    </w:p>
    <w:p w:rsidR="003B2E49" w:rsidRDefault="003B2E49">
      <w:pPr>
        <w:rPr>
          <w:sz w:val="72"/>
          <w:szCs w:val="72"/>
        </w:rPr>
      </w:pPr>
    </w:p>
    <w:p w:rsidR="003B2E49" w:rsidRDefault="00A5413E">
      <w:pPr>
        <w:pStyle w:val="Default"/>
        <w:jc w:val="center"/>
        <w:rPr>
          <w:sz w:val="84"/>
          <w:szCs w:val="84"/>
        </w:rPr>
      </w:pPr>
      <w:r>
        <w:rPr>
          <w:rFonts w:hint="eastAsia"/>
          <w:sz w:val="84"/>
          <w:szCs w:val="84"/>
        </w:rPr>
        <w:t>第一部分</w:t>
      </w:r>
      <w:r>
        <w:rPr>
          <w:sz w:val="84"/>
          <w:szCs w:val="84"/>
        </w:rPr>
        <w:t xml:space="preserve"> </w:t>
      </w:r>
    </w:p>
    <w:p w:rsidR="003B2E49" w:rsidRDefault="003B2E49">
      <w:pPr>
        <w:pStyle w:val="Default"/>
        <w:jc w:val="center"/>
        <w:rPr>
          <w:sz w:val="84"/>
          <w:szCs w:val="84"/>
        </w:rPr>
      </w:pPr>
    </w:p>
    <w:p w:rsidR="003B2E49" w:rsidRDefault="00A5413E">
      <w:pPr>
        <w:pStyle w:val="Default"/>
        <w:jc w:val="center"/>
        <w:rPr>
          <w:sz w:val="84"/>
          <w:szCs w:val="84"/>
        </w:rPr>
      </w:pPr>
      <w:r>
        <w:rPr>
          <w:rFonts w:hAnsi="黑体" w:hint="eastAsia"/>
          <w:sz w:val="84"/>
          <w:szCs w:val="84"/>
        </w:rPr>
        <w:t>湖南省中医药研究院</w:t>
      </w:r>
      <w:r>
        <w:rPr>
          <w:rFonts w:hint="eastAsia"/>
          <w:sz w:val="84"/>
          <w:szCs w:val="84"/>
        </w:rPr>
        <w:t>概况</w:t>
      </w:r>
    </w:p>
    <w:p w:rsidR="003B2E49" w:rsidRDefault="003B2E49">
      <w:pPr>
        <w:jc w:val="center"/>
        <w:rPr>
          <w:sz w:val="72"/>
          <w:szCs w:val="72"/>
        </w:rPr>
      </w:pPr>
    </w:p>
    <w:p w:rsidR="003B2E49" w:rsidRDefault="003B2E49">
      <w:pPr>
        <w:jc w:val="center"/>
        <w:rPr>
          <w:sz w:val="72"/>
          <w:szCs w:val="72"/>
        </w:rPr>
      </w:pPr>
    </w:p>
    <w:p w:rsidR="003B2E49" w:rsidRDefault="003B2E49">
      <w:pPr>
        <w:jc w:val="center"/>
        <w:rPr>
          <w:sz w:val="72"/>
          <w:szCs w:val="72"/>
        </w:rPr>
      </w:pPr>
    </w:p>
    <w:p w:rsidR="003B2E49" w:rsidRDefault="003B2E49">
      <w:pPr>
        <w:jc w:val="center"/>
        <w:rPr>
          <w:sz w:val="72"/>
          <w:szCs w:val="72"/>
        </w:rPr>
      </w:pPr>
    </w:p>
    <w:p w:rsidR="003B2E49" w:rsidRDefault="003B2E49">
      <w:pPr>
        <w:jc w:val="center"/>
        <w:rPr>
          <w:sz w:val="72"/>
          <w:szCs w:val="72"/>
        </w:rPr>
      </w:pPr>
    </w:p>
    <w:p w:rsidR="003B2E49" w:rsidRDefault="003B2E49">
      <w:pPr>
        <w:pStyle w:val="a9"/>
        <w:ind w:left="720" w:firstLineChars="0" w:firstLine="0"/>
        <w:jc w:val="left"/>
        <w:rPr>
          <w:rFonts w:ascii="黑体" w:eastAsia="黑体" w:hAnsi="黑体"/>
          <w:sz w:val="32"/>
          <w:szCs w:val="32"/>
        </w:rPr>
      </w:pP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lastRenderedPageBreak/>
        <w:t>一、部门职责</w:t>
      </w:r>
    </w:p>
    <w:p w:rsidR="003B2E49" w:rsidRDefault="00A5413E">
      <w:pPr>
        <w:pStyle w:val="Default"/>
        <w:spacing w:line="500" w:lineRule="exact"/>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 xml:space="preserve">      湖南省中医药研究院的业务范围为中医药科研、医疗，中药新药、新产品的技术开发和产业发展，具体为中医药基础理论、临床医疗方法、文献信息的研究，中药新药的研制及新产品的开发；中医医疗服务和保健工作；中药新药临床试验工作；中医药科研检索查新工作；人员的培训，指导基层单位的中医药科研、医疗、新产品的开发工作和产业发展。</w:t>
      </w:r>
    </w:p>
    <w:p w:rsidR="003B2E49" w:rsidRDefault="003B2E49">
      <w:pPr>
        <w:pStyle w:val="Default"/>
        <w:spacing w:line="500" w:lineRule="exact"/>
        <w:ind w:firstLineChars="250" w:firstLine="700"/>
        <w:rPr>
          <w:rFonts w:asciiTheme="minorEastAsia" w:eastAsiaTheme="minorEastAsia" w:hAnsiTheme="minorEastAsia" w:cs="仿宋_GB2312"/>
          <w:sz w:val="28"/>
          <w:szCs w:val="28"/>
        </w:rPr>
      </w:pP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二、机构设置及决算单位构成</w:t>
      </w:r>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一）内设机构设置：湖南省中医药研究院隶属于湖南省人民政府下的计划、财政单列的厅局级科研事业单位。现下设有附属医院（中医临床研究所、中医肿瘤研究所）、中药研究所（湖南省中药超微工程技术研究中心）、文献信息研究所（湖南省中医药科技信息中心、湖南中医杂志社）等科研、医疗业务二级机构和院办公室、人事处、科技处、计财处、监察审计室、院工会等二级部门，并拥有湖南国华制药有限公司、湖南省中医药科技发展总公司等科技企业。2021年9月30日枫林宾馆并入研究院。</w:t>
      </w:r>
      <w:bookmarkStart w:id="0" w:name="_GoBack"/>
      <w:bookmarkEnd w:id="0"/>
    </w:p>
    <w:p w:rsidR="003B2E49" w:rsidRDefault="00A5413E">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（二）决算单位构成，本次决算公开的单位包括湖南省中医药研究院。</w:t>
      </w:r>
      <w:r>
        <w:rPr>
          <w:rFonts w:asciiTheme="minorEastAsia" w:eastAsiaTheme="minorEastAsia" w:hAnsiTheme="minorEastAsia" w:cs="仿宋_GB2312"/>
          <w:sz w:val="28"/>
          <w:szCs w:val="28"/>
        </w:rPr>
        <w:t xml:space="preserve"> </w:t>
      </w:r>
    </w:p>
    <w:p w:rsidR="003B2E49" w:rsidRDefault="003B2E49">
      <w:pPr>
        <w:jc w:val="left"/>
        <w:rPr>
          <w:rFonts w:ascii="仿宋_GB2312" w:eastAsia="仿宋_GB2312" w:hAnsiTheme="minorEastAsia"/>
          <w:sz w:val="28"/>
          <w:szCs w:val="32"/>
        </w:rPr>
      </w:pPr>
    </w:p>
    <w:p w:rsidR="003B2E49" w:rsidRDefault="003B2E49">
      <w:pPr>
        <w:jc w:val="center"/>
        <w:rPr>
          <w:rFonts w:ascii="黑体" w:eastAsia="黑体" w:hAnsi="黑体"/>
          <w:sz w:val="28"/>
          <w:szCs w:val="28"/>
        </w:rPr>
      </w:pPr>
    </w:p>
    <w:p w:rsidR="003B2E49" w:rsidRDefault="003B2E49">
      <w:pPr>
        <w:jc w:val="center"/>
        <w:rPr>
          <w:rFonts w:ascii="黑体" w:eastAsia="黑体" w:hAnsi="黑体"/>
          <w:sz w:val="28"/>
          <w:szCs w:val="28"/>
        </w:rPr>
      </w:pPr>
    </w:p>
    <w:p w:rsidR="003B2E49" w:rsidRDefault="003B2E49">
      <w:pPr>
        <w:jc w:val="center"/>
        <w:rPr>
          <w:rFonts w:ascii="黑体" w:eastAsia="黑体" w:hAnsi="黑体"/>
          <w:sz w:val="28"/>
          <w:szCs w:val="28"/>
        </w:rPr>
      </w:pPr>
    </w:p>
    <w:p w:rsidR="003B2E49" w:rsidRDefault="003B2E49">
      <w:pPr>
        <w:jc w:val="center"/>
        <w:rPr>
          <w:rFonts w:ascii="黑体" w:eastAsia="黑体" w:hAnsi="黑体"/>
          <w:sz w:val="28"/>
          <w:szCs w:val="28"/>
        </w:rPr>
      </w:pPr>
    </w:p>
    <w:p w:rsidR="003B2E49" w:rsidRDefault="003B2E49">
      <w:pPr>
        <w:jc w:val="center"/>
        <w:rPr>
          <w:rFonts w:ascii="黑体" w:eastAsia="黑体" w:hAnsi="黑体"/>
          <w:sz w:val="28"/>
          <w:szCs w:val="28"/>
        </w:rPr>
      </w:pPr>
    </w:p>
    <w:p w:rsidR="003B2E49" w:rsidRDefault="003B2E49">
      <w:pPr>
        <w:jc w:val="center"/>
        <w:rPr>
          <w:rFonts w:ascii="黑体" w:eastAsia="黑体" w:hAnsi="黑体"/>
          <w:sz w:val="28"/>
          <w:szCs w:val="28"/>
        </w:rPr>
      </w:pPr>
    </w:p>
    <w:p w:rsidR="003B2E49" w:rsidRDefault="003B2E49">
      <w:pPr>
        <w:jc w:val="center"/>
        <w:rPr>
          <w:rFonts w:ascii="黑体" w:eastAsia="黑体" w:hAnsi="黑体"/>
          <w:sz w:val="28"/>
          <w:szCs w:val="28"/>
        </w:rPr>
      </w:pPr>
    </w:p>
    <w:p w:rsidR="003B2E49" w:rsidRDefault="003B2E49">
      <w:pPr>
        <w:jc w:val="center"/>
        <w:rPr>
          <w:rFonts w:ascii="黑体" w:eastAsia="黑体" w:hAnsi="黑体"/>
          <w:sz w:val="28"/>
          <w:szCs w:val="28"/>
        </w:rPr>
      </w:pPr>
    </w:p>
    <w:p w:rsidR="003B2E49" w:rsidRDefault="003B2E49">
      <w:pPr>
        <w:jc w:val="center"/>
        <w:rPr>
          <w:rFonts w:ascii="黑体" w:eastAsia="黑体" w:hAnsi="黑体"/>
          <w:sz w:val="28"/>
          <w:szCs w:val="28"/>
        </w:rPr>
      </w:pPr>
    </w:p>
    <w:p w:rsidR="003B2E49" w:rsidRDefault="003B2E49">
      <w:pPr>
        <w:jc w:val="center"/>
        <w:rPr>
          <w:rFonts w:ascii="黑体" w:eastAsia="黑体" w:hAnsi="黑体"/>
          <w:sz w:val="28"/>
          <w:szCs w:val="28"/>
        </w:rPr>
      </w:pPr>
    </w:p>
    <w:p w:rsidR="003B2E49" w:rsidRDefault="003B2E49">
      <w:pPr>
        <w:jc w:val="center"/>
        <w:rPr>
          <w:rFonts w:ascii="黑体" w:eastAsia="黑体" w:hAnsi="黑体"/>
          <w:sz w:val="28"/>
          <w:szCs w:val="28"/>
        </w:rPr>
      </w:pPr>
    </w:p>
    <w:p w:rsidR="003B2E49" w:rsidRDefault="003B2E49">
      <w:pPr>
        <w:jc w:val="center"/>
        <w:rPr>
          <w:rFonts w:ascii="黑体" w:eastAsia="黑体" w:hAnsi="黑体"/>
          <w:sz w:val="28"/>
          <w:szCs w:val="28"/>
        </w:rPr>
      </w:pPr>
    </w:p>
    <w:p w:rsidR="003B2E49" w:rsidRDefault="003B2E49">
      <w:pPr>
        <w:jc w:val="center"/>
        <w:rPr>
          <w:sz w:val="72"/>
          <w:szCs w:val="72"/>
        </w:rPr>
      </w:pPr>
    </w:p>
    <w:p w:rsidR="003B2E49" w:rsidRDefault="003B2E49">
      <w:pPr>
        <w:jc w:val="center"/>
        <w:rPr>
          <w:sz w:val="72"/>
          <w:szCs w:val="72"/>
        </w:rPr>
      </w:pPr>
    </w:p>
    <w:p w:rsidR="003B2E49" w:rsidRDefault="003B2E49">
      <w:pPr>
        <w:jc w:val="center"/>
        <w:rPr>
          <w:sz w:val="72"/>
          <w:szCs w:val="72"/>
        </w:rPr>
      </w:pPr>
    </w:p>
    <w:p w:rsidR="003B2E49" w:rsidRDefault="003B2E49">
      <w:pPr>
        <w:jc w:val="center"/>
        <w:rPr>
          <w:sz w:val="72"/>
          <w:szCs w:val="72"/>
        </w:rPr>
      </w:pPr>
    </w:p>
    <w:p w:rsidR="003B2E49" w:rsidRDefault="003B2E49">
      <w:pPr>
        <w:jc w:val="center"/>
        <w:rPr>
          <w:sz w:val="72"/>
          <w:szCs w:val="72"/>
        </w:rPr>
      </w:pPr>
    </w:p>
    <w:p w:rsidR="003B2E49" w:rsidRDefault="00A5413E">
      <w:pPr>
        <w:jc w:val="center"/>
        <w:rPr>
          <w:sz w:val="72"/>
          <w:szCs w:val="72"/>
        </w:rPr>
      </w:pPr>
      <w:r>
        <w:rPr>
          <w:rFonts w:hint="eastAsia"/>
          <w:sz w:val="72"/>
          <w:szCs w:val="72"/>
        </w:rPr>
        <w:t>第二部分</w:t>
      </w:r>
    </w:p>
    <w:p w:rsidR="003B2E49" w:rsidRDefault="003B2E49">
      <w:pPr>
        <w:jc w:val="center"/>
        <w:rPr>
          <w:sz w:val="72"/>
          <w:szCs w:val="72"/>
        </w:rPr>
      </w:pPr>
    </w:p>
    <w:p w:rsidR="003B2E49" w:rsidRDefault="00A5413E">
      <w:pPr>
        <w:jc w:val="center"/>
        <w:rPr>
          <w:sz w:val="72"/>
          <w:szCs w:val="72"/>
        </w:rPr>
      </w:pPr>
      <w:r>
        <w:rPr>
          <w:rFonts w:hint="eastAsia"/>
          <w:sz w:val="72"/>
          <w:szCs w:val="72"/>
        </w:rPr>
        <w:t>部门决算表</w:t>
      </w:r>
    </w:p>
    <w:p w:rsidR="003B2E49" w:rsidRDefault="003B2E49">
      <w:pPr>
        <w:jc w:val="center"/>
        <w:rPr>
          <w:sz w:val="72"/>
          <w:szCs w:val="72"/>
        </w:rPr>
      </w:pPr>
    </w:p>
    <w:p w:rsidR="003B2E49" w:rsidRDefault="003B2E49">
      <w:pPr>
        <w:jc w:val="center"/>
        <w:rPr>
          <w:sz w:val="72"/>
          <w:szCs w:val="72"/>
        </w:rPr>
      </w:pPr>
    </w:p>
    <w:p w:rsidR="003B2E49" w:rsidRDefault="003B2E49">
      <w:pPr>
        <w:jc w:val="center"/>
        <w:rPr>
          <w:sz w:val="72"/>
          <w:szCs w:val="72"/>
        </w:rPr>
      </w:pPr>
    </w:p>
    <w:p w:rsidR="003B2E49" w:rsidRDefault="003B2E49">
      <w:pPr>
        <w:jc w:val="center"/>
        <w:rPr>
          <w:sz w:val="72"/>
          <w:szCs w:val="72"/>
        </w:rPr>
      </w:pPr>
    </w:p>
    <w:p w:rsidR="003B2E49" w:rsidRDefault="003B2E49">
      <w:pPr>
        <w:jc w:val="center"/>
        <w:rPr>
          <w:sz w:val="72"/>
          <w:szCs w:val="72"/>
        </w:rPr>
      </w:pPr>
    </w:p>
    <w:p w:rsidR="003B2E49" w:rsidRDefault="003B2E49">
      <w:pPr>
        <w:jc w:val="center"/>
        <w:rPr>
          <w:sz w:val="72"/>
          <w:szCs w:val="72"/>
        </w:rPr>
      </w:pPr>
    </w:p>
    <w:p w:rsidR="003B2E49" w:rsidRDefault="003B2E49">
      <w:pPr>
        <w:jc w:val="left"/>
        <w:rPr>
          <w:sz w:val="32"/>
          <w:szCs w:val="32"/>
        </w:rPr>
      </w:pPr>
    </w:p>
    <w:p w:rsidR="003B2E49" w:rsidRDefault="003B2E49">
      <w:pPr>
        <w:jc w:val="left"/>
        <w:rPr>
          <w:rFonts w:asciiTheme="minorEastAsia" w:hAnsiTheme="minorEastAsia"/>
          <w:sz w:val="32"/>
          <w:szCs w:val="32"/>
        </w:rPr>
        <w:sectPr w:rsidR="003B2E49">
          <w:pgSz w:w="11906" w:h="16838"/>
          <w:pgMar w:top="720" w:right="720" w:bottom="720" w:left="720" w:header="851" w:footer="992" w:gutter="0"/>
          <w:cols w:space="425"/>
          <w:docGrid w:type="lines" w:linePitch="312"/>
        </w:sectPr>
      </w:pPr>
    </w:p>
    <w:tbl>
      <w:tblPr>
        <w:tblW w:w="14080" w:type="dxa"/>
        <w:tblInd w:w="89" w:type="dxa"/>
        <w:tblLook w:val="04A0"/>
      </w:tblPr>
      <w:tblGrid>
        <w:gridCol w:w="4200"/>
        <w:gridCol w:w="580"/>
        <w:gridCol w:w="2260"/>
        <w:gridCol w:w="4200"/>
        <w:gridCol w:w="580"/>
        <w:gridCol w:w="2260"/>
      </w:tblGrid>
      <w:tr w:rsidR="003B2E49">
        <w:trPr>
          <w:trHeight w:val="375"/>
        </w:trPr>
        <w:tc>
          <w:tcPr>
            <w:tcW w:w="42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22"/>
              </w:rPr>
            </w:pPr>
            <w:r>
              <w:rPr>
                <w:rFonts w:ascii="宋体" w:eastAsia="宋体" w:hAnsi="宋体" w:cs="Arial" w:hint="eastAsia"/>
                <w:kern w:val="0"/>
                <w:sz w:val="22"/>
              </w:rPr>
              <w:lastRenderedPageBreak/>
              <w:t xml:space="preserve">　</w:t>
            </w:r>
          </w:p>
        </w:tc>
        <w:tc>
          <w:tcPr>
            <w:tcW w:w="5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nil"/>
              <w:right w:val="nil"/>
            </w:tcBorders>
            <w:shd w:val="clear" w:color="000000" w:fill="FFFFFF"/>
            <w:noWrap/>
            <w:vAlign w:val="center"/>
          </w:tcPr>
          <w:p w:rsidR="003B2E49" w:rsidRDefault="00A5413E">
            <w:pPr>
              <w:widowControl/>
              <w:jc w:val="center"/>
              <w:rPr>
                <w:rFonts w:ascii="黑体" w:eastAsia="黑体" w:hAnsi="黑体" w:cs="Arial"/>
                <w:color w:val="000000"/>
                <w:kern w:val="0"/>
                <w:sz w:val="30"/>
                <w:szCs w:val="30"/>
              </w:rPr>
            </w:pPr>
            <w:r>
              <w:rPr>
                <w:rFonts w:ascii="黑体" w:eastAsia="黑体" w:hAnsi="黑体" w:cs="Arial" w:hint="eastAsia"/>
                <w:color w:val="000000"/>
                <w:kern w:val="0"/>
                <w:sz w:val="30"/>
                <w:szCs w:val="30"/>
              </w:rPr>
              <w:t>收入支出决算总表</w:t>
            </w:r>
          </w:p>
        </w:tc>
        <w:tc>
          <w:tcPr>
            <w:tcW w:w="42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5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r>
      <w:tr w:rsidR="003B2E49">
        <w:trPr>
          <w:trHeight w:val="300"/>
        </w:trPr>
        <w:tc>
          <w:tcPr>
            <w:tcW w:w="42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5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42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5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nil"/>
              <w:right w:val="nil"/>
            </w:tcBorders>
            <w:shd w:val="clear" w:color="000000" w:fill="FFFFFF"/>
            <w:noWrap/>
            <w:vAlign w:val="center"/>
          </w:tcPr>
          <w:p w:rsidR="003B2E49" w:rsidRDefault="00A5413E">
            <w:pPr>
              <w:widowControl/>
              <w:jc w:val="right"/>
              <w:rPr>
                <w:rFonts w:ascii="宋体" w:eastAsia="宋体" w:hAnsi="宋体" w:cs="Arial"/>
                <w:color w:val="000000"/>
                <w:kern w:val="0"/>
                <w:sz w:val="22"/>
              </w:rPr>
            </w:pPr>
            <w:r>
              <w:rPr>
                <w:rFonts w:ascii="宋体" w:eastAsia="宋体" w:hAnsi="宋体" w:cs="Arial" w:hint="eastAsia"/>
                <w:color w:val="000000"/>
                <w:kern w:val="0"/>
                <w:sz w:val="22"/>
              </w:rPr>
              <w:t>公开01表</w:t>
            </w:r>
          </w:p>
        </w:tc>
      </w:tr>
      <w:tr w:rsidR="003B2E49">
        <w:trPr>
          <w:trHeight w:val="300"/>
        </w:trPr>
        <w:tc>
          <w:tcPr>
            <w:tcW w:w="42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color w:val="000000"/>
                <w:kern w:val="0"/>
                <w:sz w:val="22"/>
              </w:rPr>
            </w:pPr>
            <w:r>
              <w:rPr>
                <w:rFonts w:ascii="宋体" w:eastAsia="宋体" w:hAnsi="宋体" w:cs="Arial" w:hint="eastAsia"/>
                <w:color w:val="000000"/>
                <w:kern w:val="0"/>
                <w:sz w:val="22"/>
              </w:rPr>
              <w:t>部门：湖南省中医药研究院</w:t>
            </w:r>
          </w:p>
        </w:tc>
        <w:tc>
          <w:tcPr>
            <w:tcW w:w="5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nil"/>
              <w:right w:val="nil"/>
            </w:tcBorders>
            <w:shd w:val="clear" w:color="000000" w:fill="FFFFFF"/>
            <w:noWrap/>
            <w:vAlign w:val="center"/>
          </w:tcPr>
          <w:p w:rsidR="003B2E49" w:rsidRDefault="00A5413E">
            <w:pPr>
              <w:widowControl/>
              <w:jc w:val="center"/>
              <w:rPr>
                <w:rFonts w:ascii="宋体" w:eastAsia="宋体" w:hAnsi="宋体" w:cs="Arial"/>
                <w:color w:val="000000"/>
                <w:kern w:val="0"/>
                <w:sz w:val="24"/>
                <w:szCs w:val="24"/>
              </w:rPr>
            </w:pPr>
            <w:r>
              <w:rPr>
                <w:rFonts w:ascii="宋体" w:eastAsia="宋体" w:hAnsi="宋体" w:cs="Arial" w:hint="eastAsia"/>
                <w:color w:val="000000"/>
                <w:kern w:val="0"/>
                <w:sz w:val="24"/>
                <w:szCs w:val="24"/>
              </w:rPr>
              <w:t>2021年度</w:t>
            </w:r>
          </w:p>
        </w:tc>
        <w:tc>
          <w:tcPr>
            <w:tcW w:w="42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5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nil"/>
              <w:right w:val="nil"/>
            </w:tcBorders>
            <w:shd w:val="clear" w:color="000000" w:fill="FFFFFF"/>
            <w:noWrap/>
            <w:vAlign w:val="center"/>
          </w:tcPr>
          <w:p w:rsidR="003B2E49" w:rsidRDefault="00A5413E">
            <w:pPr>
              <w:widowControl/>
              <w:jc w:val="right"/>
              <w:rPr>
                <w:rFonts w:ascii="宋体" w:eastAsia="宋体" w:hAnsi="宋体" w:cs="Arial"/>
                <w:color w:val="000000"/>
                <w:kern w:val="0"/>
                <w:sz w:val="22"/>
              </w:rPr>
            </w:pPr>
            <w:r>
              <w:rPr>
                <w:rFonts w:ascii="宋体" w:eastAsia="宋体" w:hAnsi="宋体" w:cs="Arial" w:hint="eastAsia"/>
                <w:color w:val="000000"/>
                <w:kern w:val="0"/>
                <w:sz w:val="22"/>
              </w:rPr>
              <w:t>金额单位：万元</w:t>
            </w:r>
          </w:p>
        </w:tc>
      </w:tr>
      <w:tr w:rsidR="003B2E49">
        <w:trPr>
          <w:trHeight w:val="300"/>
        </w:trPr>
        <w:tc>
          <w:tcPr>
            <w:tcW w:w="704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收入</w:t>
            </w:r>
          </w:p>
        </w:tc>
        <w:tc>
          <w:tcPr>
            <w:tcW w:w="7040" w:type="dxa"/>
            <w:gridSpan w:val="3"/>
            <w:tcBorders>
              <w:top w:val="single" w:sz="4" w:space="0" w:color="auto"/>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支出</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项目</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行次</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金额</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项目</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行次</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金额</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栏次</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栏次</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一、一般公共预算财政拨款收入</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7,357.44</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一、一般公共服务支出</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32</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12.68</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二、政府性基金预算财政拨款收入</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二、教育支出</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36</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三、国有资本经营预算财政拨款收入</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3</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三、科学技术支出</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37</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72,165.72</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四、上级补助收入</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4</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四、社会保障和就业支出</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39</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800.00</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五、事业收入</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5</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62,966.61</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五、卫生健康支出</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40</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6,109.81</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六、经营收入</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6</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2,057.32</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六、农林水支出</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43</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0.27</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七、附属单位上缴收入</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7</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七、住房保障支出</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50</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191.27</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八、其他收入</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8</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9</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b/>
                <w:bCs/>
                <w:kern w:val="0"/>
                <w:sz w:val="20"/>
                <w:szCs w:val="20"/>
              </w:rPr>
            </w:pPr>
            <w:r>
              <w:rPr>
                <w:rFonts w:ascii="宋体" w:eastAsia="宋体" w:hAnsi="宋体" w:cs="Arial" w:hint="eastAsia"/>
                <w:b/>
                <w:bCs/>
                <w:kern w:val="0"/>
                <w:sz w:val="20"/>
                <w:szCs w:val="20"/>
              </w:rPr>
              <w:t>本年收入合计</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13</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72,381.37</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b/>
                <w:bCs/>
                <w:kern w:val="0"/>
                <w:sz w:val="20"/>
                <w:szCs w:val="20"/>
              </w:rPr>
            </w:pPr>
            <w:r>
              <w:rPr>
                <w:rFonts w:ascii="宋体" w:eastAsia="宋体" w:hAnsi="宋体" w:cs="Arial" w:hint="eastAsia"/>
                <w:b/>
                <w:bCs/>
                <w:kern w:val="0"/>
                <w:sz w:val="20"/>
                <w:szCs w:val="20"/>
              </w:rPr>
              <w:t>本年支出合计</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58</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79,279.74</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使用非财政拨款结余</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14</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3,725.41</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结余分配</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59</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年初结转和结余</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15</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6,851.99</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年末结转和结余</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60</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3,679.04</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16</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61</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r>
      <w:tr w:rsidR="003B2E49">
        <w:trPr>
          <w:trHeight w:val="300"/>
        </w:trPr>
        <w:tc>
          <w:tcPr>
            <w:tcW w:w="4200" w:type="dxa"/>
            <w:tcBorders>
              <w:top w:val="nil"/>
              <w:left w:val="single" w:sz="4" w:space="0" w:color="auto"/>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总计</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17</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82,958.78</w:t>
            </w:r>
          </w:p>
        </w:tc>
        <w:tc>
          <w:tcPr>
            <w:tcW w:w="420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总计</w:t>
            </w:r>
          </w:p>
        </w:tc>
        <w:tc>
          <w:tcPr>
            <w:tcW w:w="58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62</w:t>
            </w:r>
          </w:p>
        </w:tc>
        <w:tc>
          <w:tcPr>
            <w:tcW w:w="2260" w:type="dxa"/>
            <w:tcBorders>
              <w:top w:val="nil"/>
              <w:left w:val="nil"/>
              <w:bottom w:val="single" w:sz="4" w:space="0" w:color="auto"/>
              <w:right w:val="single" w:sz="4" w:space="0" w:color="auto"/>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82,958.78</w:t>
            </w:r>
          </w:p>
        </w:tc>
      </w:tr>
      <w:tr w:rsidR="003B2E49">
        <w:trPr>
          <w:trHeight w:val="300"/>
        </w:trPr>
        <w:tc>
          <w:tcPr>
            <w:tcW w:w="14080" w:type="dxa"/>
            <w:gridSpan w:val="6"/>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注：1.本表反映部门本年度的总收支和年末结转结余情况。</w:t>
            </w:r>
          </w:p>
        </w:tc>
      </w:tr>
      <w:tr w:rsidR="003B2E49">
        <w:trPr>
          <w:trHeight w:val="300"/>
        </w:trPr>
        <w:tc>
          <w:tcPr>
            <w:tcW w:w="14080" w:type="dxa"/>
            <w:gridSpan w:val="6"/>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2.本套报表金额单位转换时可能存在尾数误差。</w:t>
            </w:r>
          </w:p>
        </w:tc>
      </w:tr>
    </w:tbl>
    <w:p w:rsidR="003B2E49" w:rsidRDefault="003B2E49">
      <w:pPr>
        <w:jc w:val="center"/>
        <w:rPr>
          <w:rFonts w:ascii="黑体" w:eastAsia="黑体" w:hAnsi="黑体"/>
          <w:sz w:val="28"/>
          <w:szCs w:val="28"/>
        </w:rPr>
        <w:sectPr w:rsidR="003B2E49">
          <w:pgSz w:w="16838" w:h="11906" w:orient="landscape"/>
          <w:pgMar w:top="1797" w:right="1440" w:bottom="1797" w:left="1440" w:header="851" w:footer="992" w:gutter="0"/>
          <w:cols w:space="425"/>
          <w:docGrid w:type="linesAndChars" w:linePitch="312"/>
        </w:sectPr>
      </w:pPr>
    </w:p>
    <w:tbl>
      <w:tblPr>
        <w:tblW w:w="15216" w:type="dxa"/>
        <w:tblInd w:w="89" w:type="dxa"/>
        <w:tblLook w:val="04A0"/>
      </w:tblPr>
      <w:tblGrid>
        <w:gridCol w:w="340"/>
        <w:gridCol w:w="340"/>
        <w:gridCol w:w="340"/>
        <w:gridCol w:w="3700"/>
        <w:gridCol w:w="1500"/>
        <w:gridCol w:w="1896"/>
        <w:gridCol w:w="1180"/>
        <w:gridCol w:w="1500"/>
        <w:gridCol w:w="1600"/>
        <w:gridCol w:w="1220"/>
        <w:gridCol w:w="1600"/>
      </w:tblGrid>
      <w:tr w:rsidR="003B2E49">
        <w:trPr>
          <w:trHeight w:val="375"/>
        </w:trPr>
        <w:tc>
          <w:tcPr>
            <w:tcW w:w="3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lastRenderedPageBreak/>
              <w:t xml:space="preserve">　</w:t>
            </w:r>
          </w:p>
        </w:tc>
        <w:tc>
          <w:tcPr>
            <w:tcW w:w="3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7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96" w:type="dxa"/>
            <w:tcBorders>
              <w:top w:val="nil"/>
              <w:left w:val="nil"/>
              <w:bottom w:val="nil"/>
              <w:right w:val="nil"/>
            </w:tcBorders>
            <w:shd w:val="clear" w:color="000000" w:fill="FFFFFF"/>
            <w:noWrap/>
            <w:vAlign w:val="center"/>
          </w:tcPr>
          <w:p w:rsidR="003B2E49" w:rsidRDefault="00A5413E">
            <w:pPr>
              <w:widowControl/>
              <w:jc w:val="center"/>
              <w:rPr>
                <w:rFonts w:ascii="黑体" w:eastAsia="黑体" w:hAnsi="黑体" w:cs="Arial"/>
                <w:color w:val="000000"/>
                <w:kern w:val="0"/>
                <w:sz w:val="30"/>
                <w:szCs w:val="30"/>
              </w:rPr>
            </w:pPr>
            <w:r>
              <w:rPr>
                <w:rFonts w:ascii="黑体" w:eastAsia="黑体" w:hAnsi="黑体" w:cs="Arial" w:hint="eastAsia"/>
                <w:color w:val="000000"/>
                <w:kern w:val="0"/>
                <w:sz w:val="30"/>
                <w:szCs w:val="30"/>
              </w:rPr>
              <w:t>收入决算表</w:t>
            </w:r>
          </w:p>
        </w:tc>
        <w:tc>
          <w:tcPr>
            <w:tcW w:w="11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6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22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6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r>
      <w:tr w:rsidR="003B2E49">
        <w:trPr>
          <w:trHeight w:val="300"/>
        </w:trPr>
        <w:tc>
          <w:tcPr>
            <w:tcW w:w="3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7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96"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1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6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22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600" w:type="dxa"/>
            <w:tcBorders>
              <w:top w:val="nil"/>
              <w:left w:val="nil"/>
              <w:bottom w:val="nil"/>
              <w:right w:val="nil"/>
            </w:tcBorders>
            <w:shd w:val="clear" w:color="000000" w:fill="FFFFFF"/>
            <w:noWrap/>
            <w:vAlign w:val="center"/>
          </w:tcPr>
          <w:p w:rsidR="003B2E49" w:rsidRDefault="00A5413E">
            <w:pPr>
              <w:widowControl/>
              <w:jc w:val="right"/>
              <w:rPr>
                <w:rFonts w:ascii="宋体" w:eastAsia="宋体" w:hAnsi="宋体" w:cs="Arial"/>
                <w:color w:val="000000"/>
                <w:kern w:val="0"/>
                <w:sz w:val="22"/>
              </w:rPr>
            </w:pPr>
            <w:r>
              <w:rPr>
                <w:rFonts w:ascii="宋体" w:eastAsia="宋体" w:hAnsi="宋体" w:cs="Arial" w:hint="eastAsia"/>
                <w:color w:val="000000"/>
                <w:kern w:val="0"/>
                <w:sz w:val="22"/>
              </w:rPr>
              <w:t>公开02表</w:t>
            </w:r>
          </w:p>
        </w:tc>
      </w:tr>
      <w:tr w:rsidR="003B2E49">
        <w:trPr>
          <w:trHeight w:val="300"/>
        </w:trPr>
        <w:tc>
          <w:tcPr>
            <w:tcW w:w="4720" w:type="dxa"/>
            <w:gridSpan w:val="4"/>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color w:val="000000"/>
                <w:kern w:val="0"/>
                <w:sz w:val="22"/>
              </w:rPr>
            </w:pPr>
            <w:r>
              <w:rPr>
                <w:rFonts w:ascii="宋体" w:eastAsia="宋体" w:hAnsi="宋体" w:cs="Arial" w:hint="eastAsia"/>
                <w:color w:val="000000"/>
                <w:kern w:val="0"/>
                <w:sz w:val="22"/>
              </w:rPr>
              <w:t>部门：湖南省中医药研究院</w:t>
            </w:r>
          </w:p>
        </w:tc>
        <w:tc>
          <w:tcPr>
            <w:tcW w:w="150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96" w:type="dxa"/>
            <w:tcBorders>
              <w:top w:val="nil"/>
              <w:left w:val="nil"/>
              <w:bottom w:val="single" w:sz="4" w:space="0" w:color="auto"/>
              <w:right w:val="nil"/>
            </w:tcBorders>
            <w:shd w:val="clear" w:color="000000" w:fill="FFFFFF"/>
            <w:noWrap/>
            <w:vAlign w:val="center"/>
          </w:tcPr>
          <w:p w:rsidR="003B2E49" w:rsidRDefault="00A5413E">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2021年度</w:t>
            </w:r>
          </w:p>
        </w:tc>
        <w:tc>
          <w:tcPr>
            <w:tcW w:w="118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0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60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22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600" w:type="dxa"/>
            <w:tcBorders>
              <w:top w:val="nil"/>
              <w:left w:val="nil"/>
              <w:bottom w:val="single" w:sz="4" w:space="0" w:color="auto"/>
              <w:right w:val="nil"/>
            </w:tcBorders>
            <w:shd w:val="clear" w:color="000000" w:fill="FFFFFF"/>
            <w:noWrap/>
            <w:vAlign w:val="center"/>
          </w:tcPr>
          <w:p w:rsidR="003B2E49" w:rsidRDefault="00A5413E">
            <w:pPr>
              <w:widowControl/>
              <w:jc w:val="right"/>
              <w:rPr>
                <w:rFonts w:ascii="宋体" w:eastAsia="宋体" w:hAnsi="宋体" w:cs="Arial"/>
                <w:color w:val="000000"/>
                <w:kern w:val="0"/>
                <w:sz w:val="22"/>
              </w:rPr>
            </w:pPr>
            <w:r>
              <w:rPr>
                <w:rFonts w:ascii="宋体" w:eastAsia="宋体" w:hAnsi="宋体" w:cs="Arial" w:hint="eastAsia"/>
                <w:color w:val="000000"/>
                <w:kern w:val="0"/>
                <w:sz w:val="22"/>
              </w:rPr>
              <w:t>金额单位：万元</w:t>
            </w:r>
          </w:p>
        </w:tc>
      </w:tr>
      <w:tr w:rsidR="003B2E49">
        <w:trPr>
          <w:trHeight w:val="300"/>
        </w:trPr>
        <w:tc>
          <w:tcPr>
            <w:tcW w:w="4720" w:type="dxa"/>
            <w:gridSpan w:val="4"/>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项目</w:t>
            </w:r>
          </w:p>
        </w:tc>
        <w:tc>
          <w:tcPr>
            <w:tcW w:w="150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本年收入合计</w:t>
            </w:r>
          </w:p>
        </w:tc>
        <w:tc>
          <w:tcPr>
            <w:tcW w:w="1896"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财政拨款收入</w:t>
            </w:r>
          </w:p>
        </w:tc>
        <w:tc>
          <w:tcPr>
            <w:tcW w:w="118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上级补助收入</w:t>
            </w:r>
          </w:p>
        </w:tc>
        <w:tc>
          <w:tcPr>
            <w:tcW w:w="150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事业收入</w:t>
            </w:r>
          </w:p>
        </w:tc>
        <w:tc>
          <w:tcPr>
            <w:tcW w:w="160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经营收入</w:t>
            </w:r>
          </w:p>
        </w:tc>
        <w:tc>
          <w:tcPr>
            <w:tcW w:w="122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附属单位上缴收入</w:t>
            </w:r>
          </w:p>
        </w:tc>
        <w:tc>
          <w:tcPr>
            <w:tcW w:w="160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其他收入</w:t>
            </w:r>
          </w:p>
        </w:tc>
      </w:tr>
      <w:tr w:rsidR="003B2E49">
        <w:trPr>
          <w:trHeight w:val="312"/>
        </w:trPr>
        <w:tc>
          <w:tcPr>
            <w:tcW w:w="1020" w:type="dxa"/>
            <w:gridSpan w:val="3"/>
            <w:vMerge w:val="restart"/>
            <w:tcBorders>
              <w:top w:val="nil"/>
              <w:left w:val="single" w:sz="4" w:space="0" w:color="000000"/>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功能分类科目编码</w:t>
            </w:r>
          </w:p>
        </w:tc>
        <w:tc>
          <w:tcPr>
            <w:tcW w:w="3700" w:type="dxa"/>
            <w:vMerge w:val="restart"/>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科目名称</w:t>
            </w:r>
          </w:p>
        </w:tc>
        <w:tc>
          <w:tcPr>
            <w:tcW w:w="15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96"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18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5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6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22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6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r>
      <w:tr w:rsidR="003B2E49">
        <w:trPr>
          <w:trHeight w:val="312"/>
        </w:trPr>
        <w:tc>
          <w:tcPr>
            <w:tcW w:w="1020" w:type="dxa"/>
            <w:gridSpan w:val="3"/>
            <w:vMerge/>
            <w:tcBorders>
              <w:top w:val="nil"/>
              <w:left w:val="single" w:sz="4" w:space="0" w:color="000000"/>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37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5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96"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18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5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6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22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6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r>
      <w:tr w:rsidR="003B2E49">
        <w:trPr>
          <w:trHeight w:val="312"/>
        </w:trPr>
        <w:tc>
          <w:tcPr>
            <w:tcW w:w="1020" w:type="dxa"/>
            <w:gridSpan w:val="3"/>
            <w:vMerge/>
            <w:tcBorders>
              <w:top w:val="nil"/>
              <w:left w:val="single" w:sz="4" w:space="0" w:color="000000"/>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37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5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96"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18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5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6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22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6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r>
      <w:tr w:rsidR="003B2E49">
        <w:trPr>
          <w:trHeight w:val="300"/>
        </w:trPr>
        <w:tc>
          <w:tcPr>
            <w:tcW w:w="4720" w:type="dxa"/>
            <w:gridSpan w:val="4"/>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栏次</w:t>
            </w:r>
          </w:p>
        </w:tc>
        <w:tc>
          <w:tcPr>
            <w:tcW w:w="1500" w:type="dxa"/>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w:t>
            </w:r>
          </w:p>
        </w:tc>
        <w:tc>
          <w:tcPr>
            <w:tcW w:w="1896" w:type="dxa"/>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w:t>
            </w:r>
          </w:p>
        </w:tc>
        <w:tc>
          <w:tcPr>
            <w:tcW w:w="1180" w:type="dxa"/>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3</w:t>
            </w:r>
          </w:p>
        </w:tc>
        <w:tc>
          <w:tcPr>
            <w:tcW w:w="1500" w:type="dxa"/>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4</w:t>
            </w:r>
          </w:p>
        </w:tc>
        <w:tc>
          <w:tcPr>
            <w:tcW w:w="1600" w:type="dxa"/>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5</w:t>
            </w:r>
          </w:p>
        </w:tc>
        <w:tc>
          <w:tcPr>
            <w:tcW w:w="1220" w:type="dxa"/>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6</w:t>
            </w:r>
          </w:p>
        </w:tc>
        <w:tc>
          <w:tcPr>
            <w:tcW w:w="1600" w:type="dxa"/>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7</w:t>
            </w:r>
          </w:p>
        </w:tc>
      </w:tr>
      <w:tr w:rsidR="003B2E49">
        <w:trPr>
          <w:trHeight w:val="300"/>
        </w:trPr>
        <w:tc>
          <w:tcPr>
            <w:tcW w:w="4720" w:type="dxa"/>
            <w:gridSpan w:val="4"/>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合计</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72,381.37</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7,357.44</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62,966.61</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2,057.32</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201</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一般公共服务支出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5.00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5.00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20138</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市场监督管理事务</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5.00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5.00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2013810</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质量基础</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5.00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5.00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科学技术支出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68,793.00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3,769.07</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62,966.61</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2,057.32</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20602</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基础研究</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90.00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90.00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2060203</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自然科学基金</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90.00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90.00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20603</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应用研究</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68,250.51</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3,226.58</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62,966.61</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2,057.32</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2060301</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机构运行</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37,170.55</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3,176.58</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33,993.97</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2060302</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社会公益研究</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31,029.96</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28,972.63</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2,057.32</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2060303</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高技术研究</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50.00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50.00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20604</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技术研究与开发</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9.50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9.50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2060404</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科技成果转化与扩散</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0.50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0.50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2060499</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其他技术研究与开发支出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9.00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9.00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20605</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科技条件与服务</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30.99</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30.99</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2060503</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科技条件专项</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10.99</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10.99</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2060599</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其他科技条件与服务支出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20607</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科学技术普及</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2060799</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其他科学技术普及支出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12.00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12.00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20609</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科技重大项目</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320.00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320.00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2060902</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重点研发计划</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320.00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320.00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20699</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其他科学技术支出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lastRenderedPageBreak/>
              <w:t>2069901</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科技奖励</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2069999</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其他科学技术支出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208</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社会保障和就业支出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805.50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805.50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20801</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人力资源和社会保障管理事务</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5.50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5.50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2080115</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博士后日常经费</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2.50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2.50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2080199</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其他人力资源和社会保障管理事务支出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20805</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行政事业单位养老支出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2080505</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机关事业单位基本养老保险缴费支出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700.00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700.00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2080506</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机关事业单位职业年金缴费支出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100.00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100.00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210</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卫生健康支出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2,492.60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2,492.60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21004</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公共卫生</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668.00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668.00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2100409</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重大公共卫生服务</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399.00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399.00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2100499</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其他公共卫生支出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269.00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269.00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21006</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中医药</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649.40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649.40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2100601</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中医（民族医）药专项</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649.40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649.40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21099</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其他卫生健康支出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1,175.20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1,175.20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2109999</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其他卫生健康支出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1,175.20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1,175.20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213</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农林水支出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94.00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94.00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21301</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农业农村</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24.00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24.00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2130122</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农业生产发展</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24.00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24.00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21302</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林业和草原</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70.00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70.00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2130211</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动植物保护</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70.00</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70.00</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221</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住房保障支出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191.27</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191.27</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22102</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住房改革支出</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191.27</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191.27</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2210201</w:t>
            </w:r>
          </w:p>
        </w:tc>
        <w:tc>
          <w:tcPr>
            <w:tcW w:w="37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住房公积金</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191.27</w:t>
            </w:r>
          </w:p>
        </w:tc>
        <w:tc>
          <w:tcPr>
            <w:tcW w:w="1896"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191.27</w:t>
            </w:r>
          </w:p>
        </w:tc>
        <w:tc>
          <w:tcPr>
            <w:tcW w:w="11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2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6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5216" w:type="dxa"/>
            <w:gridSpan w:val="11"/>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注：本表反映部门本年度取得的各项收入情况。</w:t>
            </w:r>
          </w:p>
        </w:tc>
      </w:tr>
    </w:tbl>
    <w:p w:rsidR="003B2E49" w:rsidRDefault="00A5413E">
      <w:pPr>
        <w:widowControl/>
        <w:jc w:val="left"/>
        <w:rPr>
          <w:rFonts w:ascii="Times New Roman" w:eastAsia="黑体" w:hAnsi="Times New Roman" w:cs="Times New Roman"/>
          <w:bCs/>
          <w:kern w:val="0"/>
          <w:sz w:val="32"/>
          <w:szCs w:val="32"/>
        </w:rPr>
      </w:pPr>
      <w:r>
        <w:rPr>
          <w:rFonts w:ascii="Times New Roman" w:eastAsia="黑体" w:hAnsi="Times New Roman" w:cs="Times New Roman"/>
          <w:bCs/>
          <w:kern w:val="0"/>
          <w:sz w:val="32"/>
          <w:szCs w:val="32"/>
        </w:rPr>
        <w:t xml:space="preserve"> </w:t>
      </w:r>
      <w:r>
        <w:rPr>
          <w:rFonts w:ascii="Times New Roman" w:eastAsia="黑体" w:hAnsi="Times New Roman" w:cs="Times New Roman"/>
          <w:bCs/>
          <w:kern w:val="0"/>
          <w:sz w:val="32"/>
          <w:szCs w:val="32"/>
        </w:rPr>
        <w:br w:type="page"/>
      </w:r>
    </w:p>
    <w:p w:rsidR="003B2E49" w:rsidRDefault="003B2E49">
      <w:pPr>
        <w:widowControl/>
        <w:rPr>
          <w:rFonts w:ascii="Times New Roman" w:eastAsia="方正小标宋_GBK" w:hAnsi="Times New Roman" w:cs="Times New Roman"/>
          <w:color w:val="000000"/>
          <w:kern w:val="0"/>
          <w:sz w:val="36"/>
          <w:szCs w:val="36"/>
        </w:rPr>
      </w:pPr>
    </w:p>
    <w:tbl>
      <w:tblPr>
        <w:tblW w:w="15740" w:type="dxa"/>
        <w:tblInd w:w="89" w:type="dxa"/>
        <w:tblLook w:val="04A0"/>
      </w:tblPr>
      <w:tblGrid>
        <w:gridCol w:w="340"/>
        <w:gridCol w:w="340"/>
        <w:gridCol w:w="340"/>
        <w:gridCol w:w="3920"/>
        <w:gridCol w:w="1800"/>
        <w:gridCol w:w="1800"/>
        <w:gridCol w:w="1800"/>
        <w:gridCol w:w="1800"/>
        <w:gridCol w:w="1800"/>
        <w:gridCol w:w="1800"/>
      </w:tblGrid>
      <w:tr w:rsidR="003B2E49">
        <w:trPr>
          <w:trHeight w:val="375"/>
        </w:trPr>
        <w:tc>
          <w:tcPr>
            <w:tcW w:w="3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92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nil"/>
              <w:right w:val="nil"/>
            </w:tcBorders>
            <w:shd w:val="clear" w:color="000000" w:fill="FFFFFF"/>
            <w:noWrap/>
            <w:vAlign w:val="center"/>
          </w:tcPr>
          <w:p w:rsidR="003B2E49" w:rsidRDefault="00A5413E">
            <w:pPr>
              <w:widowControl/>
              <w:jc w:val="center"/>
              <w:rPr>
                <w:rFonts w:ascii="黑体" w:eastAsia="黑体" w:hAnsi="黑体" w:cs="Arial"/>
                <w:color w:val="000000"/>
                <w:kern w:val="0"/>
                <w:sz w:val="30"/>
                <w:szCs w:val="30"/>
              </w:rPr>
            </w:pPr>
            <w:r>
              <w:rPr>
                <w:rFonts w:ascii="黑体" w:eastAsia="黑体" w:hAnsi="黑体" w:cs="Arial" w:hint="eastAsia"/>
                <w:color w:val="000000"/>
                <w:kern w:val="0"/>
                <w:sz w:val="30"/>
                <w:szCs w:val="30"/>
              </w:rPr>
              <w:t>支出决算表</w:t>
            </w:r>
          </w:p>
        </w:tc>
        <w:tc>
          <w:tcPr>
            <w:tcW w:w="18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r>
      <w:tr w:rsidR="003B2E49">
        <w:trPr>
          <w:trHeight w:val="300"/>
        </w:trPr>
        <w:tc>
          <w:tcPr>
            <w:tcW w:w="3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92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nil"/>
              <w:right w:val="nil"/>
            </w:tcBorders>
            <w:shd w:val="clear" w:color="000000" w:fill="FFFFFF"/>
            <w:noWrap/>
            <w:vAlign w:val="center"/>
          </w:tcPr>
          <w:p w:rsidR="003B2E49" w:rsidRDefault="00A5413E">
            <w:pPr>
              <w:widowControl/>
              <w:jc w:val="right"/>
              <w:rPr>
                <w:rFonts w:ascii="宋体" w:eastAsia="宋体" w:hAnsi="宋体" w:cs="Arial"/>
                <w:color w:val="000000"/>
                <w:kern w:val="0"/>
                <w:sz w:val="22"/>
              </w:rPr>
            </w:pPr>
            <w:r>
              <w:rPr>
                <w:rFonts w:ascii="宋体" w:eastAsia="宋体" w:hAnsi="宋体" w:cs="Arial" w:hint="eastAsia"/>
                <w:color w:val="000000"/>
                <w:kern w:val="0"/>
                <w:sz w:val="22"/>
              </w:rPr>
              <w:t>公开03表</w:t>
            </w:r>
          </w:p>
        </w:tc>
      </w:tr>
      <w:tr w:rsidR="003B2E49">
        <w:trPr>
          <w:trHeight w:val="300"/>
        </w:trPr>
        <w:tc>
          <w:tcPr>
            <w:tcW w:w="4940" w:type="dxa"/>
            <w:gridSpan w:val="4"/>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color w:val="000000"/>
                <w:kern w:val="0"/>
                <w:sz w:val="22"/>
              </w:rPr>
            </w:pPr>
            <w:r>
              <w:rPr>
                <w:rFonts w:ascii="宋体" w:eastAsia="宋体" w:hAnsi="宋体" w:cs="Arial" w:hint="eastAsia"/>
                <w:color w:val="000000"/>
                <w:kern w:val="0"/>
                <w:sz w:val="22"/>
              </w:rPr>
              <w:t>部门：湖南省中医药研究院</w:t>
            </w:r>
          </w:p>
        </w:tc>
        <w:tc>
          <w:tcPr>
            <w:tcW w:w="1800" w:type="dxa"/>
            <w:tcBorders>
              <w:top w:val="nil"/>
              <w:left w:val="nil"/>
              <w:bottom w:val="single" w:sz="4" w:space="0" w:color="auto"/>
              <w:right w:val="nil"/>
            </w:tcBorders>
            <w:shd w:val="clear" w:color="000000" w:fill="FFFFFF"/>
            <w:noWrap/>
            <w:vAlign w:val="center"/>
          </w:tcPr>
          <w:p w:rsidR="003B2E49" w:rsidRDefault="00A5413E">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2021年度</w:t>
            </w:r>
          </w:p>
        </w:tc>
        <w:tc>
          <w:tcPr>
            <w:tcW w:w="180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00" w:type="dxa"/>
            <w:tcBorders>
              <w:top w:val="nil"/>
              <w:left w:val="nil"/>
              <w:bottom w:val="single" w:sz="4" w:space="0" w:color="auto"/>
              <w:right w:val="nil"/>
            </w:tcBorders>
            <w:shd w:val="clear" w:color="000000" w:fill="FFFFFF"/>
            <w:noWrap/>
            <w:vAlign w:val="center"/>
          </w:tcPr>
          <w:p w:rsidR="003B2E49" w:rsidRDefault="00A5413E">
            <w:pPr>
              <w:widowControl/>
              <w:jc w:val="right"/>
              <w:rPr>
                <w:rFonts w:ascii="宋体" w:eastAsia="宋体" w:hAnsi="宋体" w:cs="Arial"/>
                <w:color w:val="000000"/>
                <w:kern w:val="0"/>
                <w:sz w:val="22"/>
              </w:rPr>
            </w:pPr>
            <w:r>
              <w:rPr>
                <w:rFonts w:ascii="宋体" w:eastAsia="宋体" w:hAnsi="宋体" w:cs="Arial" w:hint="eastAsia"/>
                <w:color w:val="000000"/>
                <w:kern w:val="0"/>
                <w:sz w:val="22"/>
              </w:rPr>
              <w:t>金额单位：万元</w:t>
            </w:r>
          </w:p>
        </w:tc>
      </w:tr>
      <w:tr w:rsidR="003B2E49">
        <w:trPr>
          <w:trHeight w:val="300"/>
        </w:trPr>
        <w:tc>
          <w:tcPr>
            <w:tcW w:w="4940" w:type="dxa"/>
            <w:gridSpan w:val="4"/>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项目</w:t>
            </w:r>
          </w:p>
        </w:tc>
        <w:tc>
          <w:tcPr>
            <w:tcW w:w="180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本年支出合计</w:t>
            </w:r>
          </w:p>
        </w:tc>
        <w:tc>
          <w:tcPr>
            <w:tcW w:w="180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基本支出</w:t>
            </w:r>
          </w:p>
        </w:tc>
        <w:tc>
          <w:tcPr>
            <w:tcW w:w="180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项目支出</w:t>
            </w:r>
          </w:p>
        </w:tc>
        <w:tc>
          <w:tcPr>
            <w:tcW w:w="180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上缴上级支出</w:t>
            </w:r>
          </w:p>
        </w:tc>
        <w:tc>
          <w:tcPr>
            <w:tcW w:w="180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经营支出</w:t>
            </w:r>
          </w:p>
        </w:tc>
        <w:tc>
          <w:tcPr>
            <w:tcW w:w="180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对附属单位补助支出</w:t>
            </w:r>
          </w:p>
        </w:tc>
      </w:tr>
      <w:tr w:rsidR="003B2E49">
        <w:trPr>
          <w:trHeight w:val="312"/>
        </w:trPr>
        <w:tc>
          <w:tcPr>
            <w:tcW w:w="1020" w:type="dxa"/>
            <w:gridSpan w:val="3"/>
            <w:vMerge w:val="restart"/>
            <w:tcBorders>
              <w:top w:val="nil"/>
              <w:left w:val="single" w:sz="4" w:space="0" w:color="000000"/>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功能分类科目编码</w:t>
            </w:r>
          </w:p>
        </w:tc>
        <w:tc>
          <w:tcPr>
            <w:tcW w:w="3920" w:type="dxa"/>
            <w:vMerge w:val="restart"/>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科目名称</w:t>
            </w: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r>
      <w:tr w:rsidR="003B2E49">
        <w:trPr>
          <w:trHeight w:val="312"/>
        </w:trPr>
        <w:tc>
          <w:tcPr>
            <w:tcW w:w="1020" w:type="dxa"/>
            <w:gridSpan w:val="3"/>
            <w:vMerge/>
            <w:tcBorders>
              <w:top w:val="nil"/>
              <w:left w:val="single" w:sz="4" w:space="0" w:color="000000"/>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392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r>
      <w:tr w:rsidR="003B2E49">
        <w:trPr>
          <w:trHeight w:val="312"/>
        </w:trPr>
        <w:tc>
          <w:tcPr>
            <w:tcW w:w="1020" w:type="dxa"/>
            <w:gridSpan w:val="3"/>
            <w:vMerge/>
            <w:tcBorders>
              <w:top w:val="nil"/>
              <w:left w:val="single" w:sz="4" w:space="0" w:color="000000"/>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392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8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r>
      <w:tr w:rsidR="003B2E49">
        <w:trPr>
          <w:trHeight w:val="300"/>
        </w:trPr>
        <w:tc>
          <w:tcPr>
            <w:tcW w:w="4940" w:type="dxa"/>
            <w:gridSpan w:val="4"/>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栏次</w:t>
            </w:r>
          </w:p>
        </w:tc>
        <w:tc>
          <w:tcPr>
            <w:tcW w:w="1800" w:type="dxa"/>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w:t>
            </w:r>
          </w:p>
        </w:tc>
        <w:tc>
          <w:tcPr>
            <w:tcW w:w="1800" w:type="dxa"/>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w:t>
            </w:r>
          </w:p>
        </w:tc>
        <w:tc>
          <w:tcPr>
            <w:tcW w:w="1800" w:type="dxa"/>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3</w:t>
            </w:r>
          </w:p>
        </w:tc>
        <w:tc>
          <w:tcPr>
            <w:tcW w:w="1800" w:type="dxa"/>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4</w:t>
            </w:r>
          </w:p>
        </w:tc>
        <w:tc>
          <w:tcPr>
            <w:tcW w:w="1800" w:type="dxa"/>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5</w:t>
            </w:r>
          </w:p>
        </w:tc>
        <w:tc>
          <w:tcPr>
            <w:tcW w:w="1800" w:type="dxa"/>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6</w:t>
            </w:r>
          </w:p>
        </w:tc>
      </w:tr>
      <w:tr w:rsidR="003B2E49">
        <w:trPr>
          <w:trHeight w:val="300"/>
        </w:trPr>
        <w:tc>
          <w:tcPr>
            <w:tcW w:w="4940" w:type="dxa"/>
            <w:gridSpan w:val="4"/>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合计</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79,279.74</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41,363.98</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35,858.44</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2,057.32</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一般公共服务支出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12.68</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12.68</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20132</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组织事务</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12.68</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12.68</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2013299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其他组织事务支出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12.68</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12.68</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科学技术支出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72,165.72</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40,372.71</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29,735.69</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2,057.32</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20602</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基础研究</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4.94</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4.94</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2060203</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自然科学基金</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4.94</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4.94</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20603</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应用研究</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71,951.24</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40,372.71</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29,521.21</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2,057.32</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2060301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机构运行</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40,372.71</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40,372.71</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2060302</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社会公益研究</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31,553.22</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29,495.90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2,057.32</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2060303</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高技术研究</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25.32</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25.32</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20605</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科技条件与服务</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9.39</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9.39</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2060503</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科技条件专项</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9.39</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9.39</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20607</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科学技术普及</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10.34</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10.34</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2060702</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科普活动</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9.77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9.77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2060799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其他科学技术普及支出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0.57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0.57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科技重大项目</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68.79</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68.79</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2060902</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重点研发计划</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68.79</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68.79</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其他科学技术支出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121.02</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121.02</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2069999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其他科学技术支出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121.02</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121.02</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208</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社会保障和就业支出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lastRenderedPageBreak/>
              <w:t>20805</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行政事业单位养老支出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2080505</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机关事业单位基本养老保险缴费支出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700.00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700.00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2080506</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机关事业单位职业年金缴费支出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100.00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100.00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210</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卫生健康支出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6,109.81</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6,109.81</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21004</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公共卫生</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444.17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444.17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2100409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重大公共卫生服务</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399.00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399.00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2100499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其他公共卫生支出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45.17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45.17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21006</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中医药</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477.06</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477.06</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2100601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中医（民族医）药专项</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477.06</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477.06</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21099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其他卫生健康支出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5,188.58</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5,188.58</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2109999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其他卫生健康支出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5,188.58</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5,188.58</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213</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农林水支出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0.27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0.27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21301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农业农村</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0.27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0.27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2130111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统计监测与信息服务</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0.27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0.27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221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住房保障支出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191.27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191.27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22102</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住房改革支出</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191.27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191.27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10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2210201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住房公积金</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191.27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191.27</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8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5740" w:type="dxa"/>
            <w:gridSpan w:val="10"/>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注：本表反映部门本年度各项支出情况。</w:t>
            </w:r>
          </w:p>
        </w:tc>
      </w:tr>
    </w:tbl>
    <w:p w:rsidR="003B2E49" w:rsidRDefault="003B2E49">
      <w:pPr>
        <w:widowControl/>
        <w:ind w:left="93"/>
        <w:jc w:val="center"/>
        <w:rPr>
          <w:rFonts w:ascii="Times New Roman" w:eastAsia="方正小标宋_GBK" w:hAnsi="Times New Roman" w:cs="Times New Roman"/>
          <w:color w:val="000000"/>
          <w:kern w:val="0"/>
          <w:sz w:val="36"/>
          <w:szCs w:val="21"/>
        </w:rPr>
      </w:pPr>
    </w:p>
    <w:p w:rsidR="003B2E49" w:rsidRDefault="003B2E49">
      <w:pPr>
        <w:widowControl/>
        <w:ind w:left="93"/>
        <w:jc w:val="center"/>
        <w:rPr>
          <w:rFonts w:ascii="Times New Roman" w:eastAsia="方正小标宋_GBK" w:hAnsi="Times New Roman" w:cs="Times New Roman"/>
          <w:color w:val="000000"/>
          <w:kern w:val="0"/>
          <w:sz w:val="36"/>
          <w:szCs w:val="21"/>
        </w:rPr>
      </w:pPr>
    </w:p>
    <w:p w:rsidR="003B2E49" w:rsidRDefault="003B2E49">
      <w:pPr>
        <w:widowControl/>
        <w:ind w:left="93"/>
        <w:jc w:val="center"/>
        <w:rPr>
          <w:rFonts w:ascii="Times New Roman" w:eastAsia="方正小标宋_GBK" w:hAnsi="Times New Roman" w:cs="Times New Roman"/>
          <w:color w:val="000000"/>
          <w:kern w:val="0"/>
          <w:sz w:val="36"/>
          <w:szCs w:val="21"/>
        </w:rPr>
      </w:pPr>
    </w:p>
    <w:p w:rsidR="003B2E49" w:rsidRDefault="003B2E49">
      <w:pPr>
        <w:widowControl/>
        <w:ind w:left="93"/>
        <w:jc w:val="center"/>
        <w:rPr>
          <w:rFonts w:ascii="Times New Roman" w:eastAsia="方正小标宋_GBK" w:hAnsi="Times New Roman" w:cs="Times New Roman"/>
          <w:color w:val="000000"/>
          <w:kern w:val="0"/>
          <w:sz w:val="36"/>
          <w:szCs w:val="21"/>
        </w:rPr>
      </w:pPr>
    </w:p>
    <w:p w:rsidR="003B2E49" w:rsidRDefault="003B2E49">
      <w:pPr>
        <w:widowControl/>
        <w:ind w:left="93"/>
        <w:jc w:val="center"/>
        <w:rPr>
          <w:rFonts w:ascii="Times New Roman" w:eastAsia="方正小标宋_GBK" w:hAnsi="Times New Roman" w:cs="Times New Roman"/>
          <w:color w:val="000000"/>
          <w:kern w:val="0"/>
          <w:sz w:val="36"/>
          <w:szCs w:val="21"/>
        </w:rPr>
      </w:pPr>
    </w:p>
    <w:p w:rsidR="003B2E49" w:rsidRDefault="003B2E49">
      <w:pPr>
        <w:widowControl/>
        <w:ind w:left="93"/>
        <w:jc w:val="center"/>
        <w:rPr>
          <w:rFonts w:ascii="Times New Roman" w:eastAsia="方正小标宋_GBK" w:hAnsi="Times New Roman" w:cs="Times New Roman"/>
          <w:color w:val="000000"/>
          <w:kern w:val="0"/>
          <w:sz w:val="36"/>
          <w:szCs w:val="21"/>
        </w:rPr>
      </w:pPr>
    </w:p>
    <w:p w:rsidR="003B2E49" w:rsidRDefault="003B2E49">
      <w:pPr>
        <w:widowControl/>
        <w:ind w:left="93"/>
        <w:jc w:val="center"/>
        <w:rPr>
          <w:rFonts w:ascii="Times New Roman" w:eastAsia="方正小标宋_GBK" w:hAnsi="Times New Roman" w:cs="Times New Roman"/>
          <w:color w:val="000000"/>
          <w:kern w:val="0"/>
          <w:sz w:val="36"/>
          <w:szCs w:val="21"/>
        </w:rPr>
      </w:pPr>
    </w:p>
    <w:tbl>
      <w:tblPr>
        <w:tblW w:w="14411" w:type="dxa"/>
        <w:tblInd w:w="89" w:type="dxa"/>
        <w:tblLook w:val="04A0"/>
      </w:tblPr>
      <w:tblGrid>
        <w:gridCol w:w="2720"/>
        <w:gridCol w:w="580"/>
        <w:gridCol w:w="1400"/>
        <w:gridCol w:w="1273"/>
        <w:gridCol w:w="1647"/>
        <w:gridCol w:w="973"/>
        <w:gridCol w:w="1204"/>
        <w:gridCol w:w="236"/>
        <w:gridCol w:w="1440"/>
        <w:gridCol w:w="1360"/>
        <w:gridCol w:w="1578"/>
      </w:tblGrid>
      <w:tr w:rsidR="003B2E49">
        <w:trPr>
          <w:trHeight w:val="375"/>
        </w:trPr>
        <w:tc>
          <w:tcPr>
            <w:tcW w:w="272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bookmarkStart w:id="1" w:name="RANGE!A1:I22"/>
            <w:bookmarkStart w:id="2" w:name="RANGE!A1:F16"/>
            <w:bookmarkEnd w:id="1"/>
            <w:r>
              <w:rPr>
                <w:rFonts w:ascii="宋体" w:eastAsia="宋体" w:hAnsi="宋体" w:cs="Arial" w:hint="eastAsia"/>
                <w:kern w:val="0"/>
                <w:sz w:val="18"/>
                <w:szCs w:val="18"/>
              </w:rPr>
              <w:lastRenderedPageBreak/>
              <w:t xml:space="preserve">　</w:t>
            </w:r>
          </w:p>
        </w:tc>
        <w:tc>
          <w:tcPr>
            <w:tcW w:w="5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4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273"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p w:rsidR="003B2E49" w:rsidRDefault="003B2E49">
            <w:pPr>
              <w:widowControl/>
              <w:jc w:val="left"/>
              <w:rPr>
                <w:rFonts w:ascii="宋体" w:eastAsia="宋体" w:hAnsi="宋体" w:cs="Arial"/>
                <w:kern w:val="0"/>
                <w:sz w:val="18"/>
                <w:szCs w:val="18"/>
              </w:rPr>
            </w:pPr>
          </w:p>
        </w:tc>
        <w:tc>
          <w:tcPr>
            <w:tcW w:w="3824" w:type="dxa"/>
            <w:gridSpan w:val="3"/>
            <w:tcBorders>
              <w:top w:val="nil"/>
              <w:left w:val="nil"/>
              <w:bottom w:val="nil"/>
              <w:right w:val="nil"/>
            </w:tcBorders>
            <w:shd w:val="clear" w:color="000000" w:fill="FFFFFF"/>
            <w:noWrap/>
            <w:vAlign w:val="center"/>
          </w:tcPr>
          <w:p w:rsidR="003B2E49" w:rsidRDefault="00A5413E">
            <w:pPr>
              <w:widowControl/>
              <w:jc w:val="center"/>
              <w:rPr>
                <w:rFonts w:ascii="黑体" w:eastAsia="黑体" w:hAnsi="黑体" w:cs="Arial"/>
                <w:color w:val="000000"/>
                <w:kern w:val="0"/>
                <w:sz w:val="30"/>
                <w:szCs w:val="30"/>
              </w:rPr>
            </w:pPr>
            <w:r>
              <w:rPr>
                <w:rFonts w:ascii="黑体" w:eastAsia="黑体" w:hAnsi="黑体" w:cs="Arial" w:hint="eastAsia"/>
                <w:color w:val="000000"/>
                <w:kern w:val="0"/>
                <w:sz w:val="30"/>
                <w:szCs w:val="30"/>
              </w:rPr>
              <w:t>财政拨款收入支出决算总表</w:t>
            </w:r>
          </w:p>
        </w:tc>
        <w:tc>
          <w:tcPr>
            <w:tcW w:w="236"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4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36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7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r>
      <w:tr w:rsidR="003B2E49">
        <w:trPr>
          <w:trHeight w:val="300"/>
        </w:trPr>
        <w:tc>
          <w:tcPr>
            <w:tcW w:w="272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5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4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920" w:type="dxa"/>
            <w:gridSpan w:val="2"/>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973"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440" w:type="dxa"/>
            <w:gridSpan w:val="2"/>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4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36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78" w:type="dxa"/>
            <w:tcBorders>
              <w:top w:val="nil"/>
              <w:left w:val="nil"/>
              <w:bottom w:val="nil"/>
              <w:right w:val="nil"/>
            </w:tcBorders>
            <w:shd w:val="clear" w:color="000000" w:fill="FFFFFF"/>
            <w:noWrap/>
            <w:vAlign w:val="center"/>
          </w:tcPr>
          <w:p w:rsidR="003B2E49" w:rsidRDefault="00A5413E">
            <w:pPr>
              <w:widowControl/>
              <w:jc w:val="right"/>
              <w:rPr>
                <w:rFonts w:ascii="宋体" w:eastAsia="宋体" w:hAnsi="宋体" w:cs="Arial"/>
                <w:color w:val="000000"/>
                <w:kern w:val="0"/>
                <w:sz w:val="22"/>
              </w:rPr>
            </w:pPr>
            <w:r>
              <w:rPr>
                <w:rFonts w:ascii="宋体" w:eastAsia="宋体" w:hAnsi="宋体" w:cs="Arial" w:hint="eastAsia"/>
                <w:color w:val="000000"/>
                <w:kern w:val="0"/>
                <w:sz w:val="22"/>
              </w:rPr>
              <w:t>公开04表</w:t>
            </w:r>
          </w:p>
        </w:tc>
      </w:tr>
      <w:tr w:rsidR="003B2E49">
        <w:trPr>
          <w:trHeight w:val="300"/>
        </w:trPr>
        <w:tc>
          <w:tcPr>
            <w:tcW w:w="3300" w:type="dxa"/>
            <w:gridSpan w:val="2"/>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color w:val="000000"/>
                <w:kern w:val="0"/>
                <w:sz w:val="22"/>
              </w:rPr>
            </w:pPr>
            <w:r>
              <w:rPr>
                <w:rFonts w:ascii="宋体" w:eastAsia="宋体" w:hAnsi="宋体" w:cs="Arial" w:hint="eastAsia"/>
                <w:color w:val="000000"/>
                <w:kern w:val="0"/>
                <w:sz w:val="22"/>
              </w:rPr>
              <w:t>部门：湖南省中医药研究院</w:t>
            </w:r>
          </w:p>
        </w:tc>
        <w:tc>
          <w:tcPr>
            <w:tcW w:w="140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920" w:type="dxa"/>
            <w:gridSpan w:val="2"/>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973" w:type="dxa"/>
            <w:tcBorders>
              <w:top w:val="nil"/>
              <w:left w:val="nil"/>
              <w:bottom w:val="single" w:sz="4" w:space="0" w:color="auto"/>
              <w:right w:val="nil"/>
            </w:tcBorders>
            <w:shd w:val="clear" w:color="000000" w:fill="FFFFFF"/>
            <w:noWrap/>
            <w:vAlign w:val="center"/>
          </w:tcPr>
          <w:p w:rsidR="003B2E49" w:rsidRDefault="00A5413E">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2021年度</w:t>
            </w:r>
          </w:p>
        </w:tc>
        <w:tc>
          <w:tcPr>
            <w:tcW w:w="1440" w:type="dxa"/>
            <w:gridSpan w:val="2"/>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44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36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78" w:type="dxa"/>
            <w:tcBorders>
              <w:top w:val="nil"/>
              <w:left w:val="nil"/>
              <w:bottom w:val="single" w:sz="4" w:space="0" w:color="auto"/>
              <w:right w:val="nil"/>
            </w:tcBorders>
            <w:shd w:val="clear" w:color="000000" w:fill="FFFFFF"/>
            <w:noWrap/>
            <w:vAlign w:val="center"/>
          </w:tcPr>
          <w:p w:rsidR="003B2E49" w:rsidRDefault="00A5413E">
            <w:pPr>
              <w:widowControl/>
              <w:jc w:val="right"/>
              <w:rPr>
                <w:rFonts w:ascii="宋体" w:eastAsia="宋体" w:hAnsi="宋体" w:cs="Arial"/>
                <w:color w:val="000000"/>
                <w:kern w:val="0"/>
                <w:sz w:val="22"/>
              </w:rPr>
            </w:pPr>
            <w:r>
              <w:rPr>
                <w:rFonts w:ascii="宋体" w:eastAsia="宋体" w:hAnsi="宋体" w:cs="Arial" w:hint="eastAsia"/>
                <w:color w:val="000000"/>
                <w:kern w:val="0"/>
                <w:sz w:val="22"/>
              </w:rPr>
              <w:t>金额单位：万元</w:t>
            </w:r>
          </w:p>
        </w:tc>
      </w:tr>
      <w:tr w:rsidR="003B2E49">
        <w:trPr>
          <w:trHeight w:val="300"/>
        </w:trPr>
        <w:tc>
          <w:tcPr>
            <w:tcW w:w="470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收     入</w:t>
            </w:r>
          </w:p>
        </w:tc>
        <w:tc>
          <w:tcPr>
            <w:tcW w:w="9711" w:type="dxa"/>
            <w:gridSpan w:val="8"/>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支     出</w:t>
            </w:r>
          </w:p>
        </w:tc>
      </w:tr>
      <w:tr w:rsidR="003B2E49">
        <w:trPr>
          <w:trHeight w:val="312"/>
        </w:trPr>
        <w:tc>
          <w:tcPr>
            <w:tcW w:w="2720" w:type="dxa"/>
            <w:vMerge w:val="restart"/>
            <w:tcBorders>
              <w:top w:val="nil"/>
              <w:left w:val="single" w:sz="4" w:space="0" w:color="000000"/>
              <w:bottom w:val="single" w:sz="4" w:space="0" w:color="000000"/>
              <w:right w:val="single" w:sz="4" w:space="0" w:color="000000"/>
            </w:tcBorders>
            <w:shd w:val="clear" w:color="000000" w:fill="FFFFFF"/>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项目</w:t>
            </w:r>
          </w:p>
        </w:tc>
        <w:tc>
          <w:tcPr>
            <w:tcW w:w="58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行次</w:t>
            </w:r>
          </w:p>
        </w:tc>
        <w:tc>
          <w:tcPr>
            <w:tcW w:w="140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金额</w:t>
            </w:r>
          </w:p>
        </w:tc>
        <w:tc>
          <w:tcPr>
            <w:tcW w:w="2920" w:type="dxa"/>
            <w:gridSpan w:val="2"/>
            <w:vMerge w:val="restart"/>
            <w:tcBorders>
              <w:top w:val="nil"/>
              <w:left w:val="nil"/>
              <w:bottom w:val="single" w:sz="4" w:space="0" w:color="000000"/>
              <w:right w:val="single" w:sz="4" w:space="0" w:color="000000"/>
            </w:tcBorders>
            <w:shd w:val="clear" w:color="000000" w:fill="FFFFFF"/>
            <w:vAlign w:val="bottom"/>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项目</w:t>
            </w:r>
          </w:p>
        </w:tc>
        <w:tc>
          <w:tcPr>
            <w:tcW w:w="973"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行次</w:t>
            </w:r>
          </w:p>
        </w:tc>
        <w:tc>
          <w:tcPr>
            <w:tcW w:w="1440" w:type="dxa"/>
            <w:gridSpan w:val="2"/>
            <w:vMerge w:val="restart"/>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合计</w:t>
            </w:r>
          </w:p>
        </w:tc>
        <w:tc>
          <w:tcPr>
            <w:tcW w:w="144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一般公共预算财政拨款</w:t>
            </w:r>
          </w:p>
        </w:tc>
        <w:tc>
          <w:tcPr>
            <w:tcW w:w="136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政府性基金预算财政拨款</w:t>
            </w:r>
          </w:p>
        </w:tc>
        <w:tc>
          <w:tcPr>
            <w:tcW w:w="1578"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国有资本经营预算财政拨款</w:t>
            </w:r>
          </w:p>
        </w:tc>
      </w:tr>
      <w:tr w:rsidR="003B2E49">
        <w:trPr>
          <w:trHeight w:val="600"/>
        </w:trPr>
        <w:tc>
          <w:tcPr>
            <w:tcW w:w="2720" w:type="dxa"/>
            <w:vMerge/>
            <w:tcBorders>
              <w:top w:val="nil"/>
              <w:left w:val="single" w:sz="4" w:space="0" w:color="000000"/>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58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4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2920" w:type="dxa"/>
            <w:gridSpan w:val="2"/>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973"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440" w:type="dxa"/>
            <w:gridSpan w:val="2"/>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44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36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578"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栏次</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w:t>
            </w:r>
          </w:p>
        </w:tc>
        <w:tc>
          <w:tcPr>
            <w:tcW w:w="2920" w:type="dxa"/>
            <w:gridSpan w:val="2"/>
            <w:tcBorders>
              <w:top w:val="nil"/>
              <w:left w:val="nil"/>
              <w:bottom w:val="single" w:sz="4" w:space="0" w:color="000000"/>
              <w:right w:val="single" w:sz="4" w:space="0" w:color="000000"/>
            </w:tcBorders>
            <w:shd w:val="clear" w:color="000000" w:fill="FFFFFF"/>
            <w:noWrap/>
            <w:vAlign w:val="bottom"/>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栏次</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3</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4</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5</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一、一般公共预算财政拨款</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7,357.44</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一、一般公共服务支出</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17</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12.68</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12.68</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二、政府性基金预算财政拨款</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二、外交支出</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18</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三、国有资本经营财政拨款</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3</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三、国防支出</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19</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4</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四、公共安全支出</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20</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5</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五、教育支出</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21</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6</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六、科学技术支出</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22</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3,416.37</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3,416.37</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7</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七、文化旅游体育与传媒支出</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23</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8</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八、社会保障和就业支出</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24</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800.00</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800.00</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9</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九、卫生健康支出</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25</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6,109.81</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6,109.81</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10</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十九、住房保障支出</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26</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191.27</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191.27</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b/>
                <w:bCs/>
                <w:kern w:val="0"/>
                <w:sz w:val="20"/>
                <w:szCs w:val="20"/>
              </w:rPr>
            </w:pPr>
            <w:r>
              <w:rPr>
                <w:rFonts w:ascii="宋体" w:eastAsia="宋体" w:hAnsi="宋体" w:cs="Arial" w:hint="eastAsia"/>
                <w:b/>
                <w:bCs/>
                <w:kern w:val="0"/>
                <w:sz w:val="20"/>
                <w:szCs w:val="20"/>
              </w:rPr>
              <w:t>本年收入合计</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11</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7,357.44</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b/>
                <w:bCs/>
                <w:kern w:val="0"/>
                <w:sz w:val="20"/>
                <w:szCs w:val="20"/>
              </w:rPr>
            </w:pPr>
            <w:r>
              <w:rPr>
                <w:rFonts w:ascii="宋体" w:eastAsia="宋体" w:hAnsi="宋体" w:cs="Arial" w:hint="eastAsia"/>
                <w:b/>
                <w:bCs/>
                <w:kern w:val="0"/>
                <w:sz w:val="20"/>
                <w:szCs w:val="20"/>
              </w:rPr>
              <w:t>本年支出合计</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27</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10,530.40</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10,530.40</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年初财政拨款结转和结余</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12</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6,851.99</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年末财政拨款结转和结余</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28</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3,679.04</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3,679.04</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一般公共预算财政拨款</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13</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6,851.99</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29</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政府性基金预算财政拨款</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14</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30</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国有资本经营预算财政拨款</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15</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31</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r>
      <w:tr w:rsidR="003B2E49">
        <w:trPr>
          <w:trHeight w:val="300"/>
        </w:trPr>
        <w:tc>
          <w:tcPr>
            <w:tcW w:w="272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总计</w:t>
            </w:r>
          </w:p>
        </w:tc>
        <w:tc>
          <w:tcPr>
            <w:tcW w:w="5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16</w:t>
            </w:r>
          </w:p>
        </w:tc>
        <w:tc>
          <w:tcPr>
            <w:tcW w:w="14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14,209.43</w:t>
            </w:r>
          </w:p>
        </w:tc>
        <w:tc>
          <w:tcPr>
            <w:tcW w:w="292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总计</w:t>
            </w:r>
          </w:p>
        </w:tc>
        <w:tc>
          <w:tcPr>
            <w:tcW w:w="973"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32</w:t>
            </w:r>
          </w:p>
        </w:tc>
        <w:tc>
          <w:tcPr>
            <w:tcW w:w="144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14,209.43</w:t>
            </w:r>
          </w:p>
        </w:tc>
        <w:tc>
          <w:tcPr>
            <w:tcW w:w="14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14,209.43</w:t>
            </w:r>
          </w:p>
        </w:tc>
        <w:tc>
          <w:tcPr>
            <w:tcW w:w="13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2833" w:type="dxa"/>
            <w:gridSpan w:val="10"/>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注：本表反映部门本年度一般公共预算财政拨款、政府性基金预算财政拨款和国有资本经营预算财政拨款的总收支和年末结转结余情况。</w:t>
            </w:r>
          </w:p>
        </w:tc>
        <w:tc>
          <w:tcPr>
            <w:tcW w:w="157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r>
    </w:tbl>
    <w:p w:rsidR="003B2E49" w:rsidRDefault="003B2E49">
      <w:pPr>
        <w:widowControl/>
        <w:jc w:val="center"/>
        <w:rPr>
          <w:rFonts w:ascii="Times New Roman" w:eastAsia="方正小标宋_GBK" w:hAnsi="Times New Roman" w:cs="Times New Roman"/>
          <w:kern w:val="0"/>
          <w:sz w:val="36"/>
          <w:szCs w:val="36"/>
        </w:rPr>
      </w:pPr>
    </w:p>
    <w:p w:rsidR="003B2E49" w:rsidRDefault="003B2E49">
      <w:pPr>
        <w:widowControl/>
        <w:jc w:val="center"/>
        <w:rPr>
          <w:rFonts w:ascii="Times New Roman" w:eastAsia="方正小标宋_GBK" w:hAnsi="Times New Roman" w:cs="Times New Roman"/>
          <w:kern w:val="0"/>
          <w:sz w:val="36"/>
          <w:szCs w:val="36"/>
        </w:rPr>
      </w:pPr>
    </w:p>
    <w:p w:rsidR="003B2E49" w:rsidRDefault="00A5413E">
      <w:pPr>
        <w:widowControl/>
        <w:jc w:val="center"/>
        <w:rPr>
          <w:rFonts w:ascii="Times New Roman" w:eastAsia="方正小标宋_GBK" w:hAnsi="Times New Roman" w:cs="Times New Roman"/>
          <w:kern w:val="0"/>
          <w:sz w:val="36"/>
          <w:szCs w:val="36"/>
        </w:rPr>
      </w:pPr>
      <w:r>
        <w:rPr>
          <w:rFonts w:ascii="Times New Roman" w:eastAsia="方正小标宋_GBK" w:hAnsi="Times New Roman" w:cs="Times New Roman"/>
          <w:kern w:val="0"/>
          <w:sz w:val="36"/>
          <w:szCs w:val="36"/>
        </w:rPr>
        <w:lastRenderedPageBreak/>
        <w:t>一般公共预算财政拨款支出决算表</w:t>
      </w:r>
      <w:bookmarkEnd w:id="2"/>
    </w:p>
    <w:tbl>
      <w:tblPr>
        <w:tblW w:w="13520" w:type="dxa"/>
        <w:tblInd w:w="89" w:type="dxa"/>
        <w:tblLook w:val="04A0"/>
      </w:tblPr>
      <w:tblGrid>
        <w:gridCol w:w="340"/>
        <w:gridCol w:w="820"/>
        <w:gridCol w:w="1660"/>
        <w:gridCol w:w="3920"/>
        <w:gridCol w:w="2260"/>
        <w:gridCol w:w="2260"/>
        <w:gridCol w:w="2260"/>
      </w:tblGrid>
      <w:tr w:rsidR="003B2E49">
        <w:trPr>
          <w:trHeight w:val="300"/>
        </w:trPr>
        <w:tc>
          <w:tcPr>
            <w:tcW w:w="3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Times New Roman" w:eastAsia="仿宋_GB2312" w:hAnsi="Times New Roman" w:cs="Times New Roman" w:hint="eastAsia"/>
                <w:color w:val="000000"/>
                <w:kern w:val="0"/>
                <w:szCs w:val="21"/>
              </w:rPr>
              <w:t xml:space="preserve">    </w:t>
            </w:r>
            <w:r>
              <w:rPr>
                <w:rFonts w:ascii="宋体" w:eastAsia="宋体" w:hAnsi="宋体" w:cs="Arial" w:hint="eastAsia"/>
                <w:kern w:val="0"/>
                <w:sz w:val="18"/>
                <w:szCs w:val="18"/>
              </w:rPr>
              <w:t xml:space="preserve">　</w:t>
            </w:r>
          </w:p>
        </w:tc>
        <w:tc>
          <w:tcPr>
            <w:tcW w:w="82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66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92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nil"/>
              <w:right w:val="nil"/>
            </w:tcBorders>
            <w:shd w:val="clear" w:color="000000" w:fill="FFFFFF"/>
            <w:noWrap/>
            <w:vAlign w:val="center"/>
          </w:tcPr>
          <w:p w:rsidR="003B2E49" w:rsidRDefault="00A5413E">
            <w:pPr>
              <w:widowControl/>
              <w:jc w:val="right"/>
              <w:rPr>
                <w:rFonts w:ascii="宋体" w:eastAsia="宋体" w:hAnsi="宋体" w:cs="Arial"/>
                <w:color w:val="000000"/>
                <w:kern w:val="0"/>
                <w:sz w:val="22"/>
              </w:rPr>
            </w:pPr>
            <w:r>
              <w:rPr>
                <w:rFonts w:ascii="宋体" w:eastAsia="宋体" w:hAnsi="宋体" w:cs="Arial" w:hint="eastAsia"/>
                <w:color w:val="000000"/>
                <w:kern w:val="0"/>
                <w:sz w:val="22"/>
              </w:rPr>
              <w:t>公开05表</w:t>
            </w:r>
          </w:p>
        </w:tc>
      </w:tr>
      <w:tr w:rsidR="003B2E49">
        <w:trPr>
          <w:trHeight w:val="300"/>
        </w:trPr>
        <w:tc>
          <w:tcPr>
            <w:tcW w:w="2820" w:type="dxa"/>
            <w:gridSpan w:val="3"/>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color w:val="000000"/>
                <w:kern w:val="0"/>
                <w:sz w:val="22"/>
              </w:rPr>
            </w:pPr>
            <w:r>
              <w:rPr>
                <w:rFonts w:ascii="宋体" w:eastAsia="宋体" w:hAnsi="宋体" w:cs="Arial" w:hint="eastAsia"/>
                <w:color w:val="000000"/>
                <w:kern w:val="0"/>
                <w:sz w:val="22"/>
              </w:rPr>
              <w:t>部门：湖南省中医药研究院</w:t>
            </w:r>
          </w:p>
        </w:tc>
        <w:tc>
          <w:tcPr>
            <w:tcW w:w="3920" w:type="dxa"/>
            <w:tcBorders>
              <w:top w:val="nil"/>
              <w:left w:val="nil"/>
              <w:bottom w:val="single" w:sz="4" w:space="0" w:color="auto"/>
              <w:right w:val="nil"/>
            </w:tcBorders>
            <w:shd w:val="clear" w:color="000000" w:fill="FFFFFF"/>
            <w:noWrap/>
            <w:vAlign w:val="center"/>
          </w:tcPr>
          <w:p w:rsidR="003B2E49" w:rsidRDefault="00A5413E">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2021年度</w:t>
            </w:r>
          </w:p>
        </w:tc>
        <w:tc>
          <w:tcPr>
            <w:tcW w:w="226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single" w:sz="4" w:space="0" w:color="auto"/>
              <w:right w:val="nil"/>
            </w:tcBorders>
            <w:shd w:val="clear" w:color="000000" w:fill="FFFFFF"/>
            <w:noWrap/>
            <w:vAlign w:val="center"/>
          </w:tcPr>
          <w:p w:rsidR="003B2E49" w:rsidRDefault="00A5413E">
            <w:pPr>
              <w:widowControl/>
              <w:jc w:val="right"/>
              <w:rPr>
                <w:rFonts w:ascii="宋体" w:eastAsia="宋体" w:hAnsi="宋体" w:cs="Arial"/>
                <w:color w:val="000000"/>
                <w:kern w:val="0"/>
                <w:sz w:val="22"/>
              </w:rPr>
            </w:pPr>
            <w:r>
              <w:rPr>
                <w:rFonts w:ascii="宋体" w:eastAsia="宋体" w:hAnsi="宋体" w:cs="Arial" w:hint="eastAsia"/>
                <w:color w:val="000000"/>
                <w:kern w:val="0"/>
                <w:sz w:val="22"/>
              </w:rPr>
              <w:t>金额单位：万元</w:t>
            </w:r>
          </w:p>
        </w:tc>
      </w:tr>
      <w:tr w:rsidR="003B2E49">
        <w:trPr>
          <w:trHeight w:val="300"/>
        </w:trPr>
        <w:tc>
          <w:tcPr>
            <w:tcW w:w="6740" w:type="dxa"/>
            <w:gridSpan w:val="4"/>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项目</w:t>
            </w:r>
          </w:p>
        </w:tc>
        <w:tc>
          <w:tcPr>
            <w:tcW w:w="6780" w:type="dxa"/>
            <w:gridSpan w:val="3"/>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本年支出</w:t>
            </w:r>
          </w:p>
        </w:tc>
      </w:tr>
      <w:tr w:rsidR="003B2E49">
        <w:trPr>
          <w:trHeight w:val="312"/>
        </w:trPr>
        <w:tc>
          <w:tcPr>
            <w:tcW w:w="2820" w:type="dxa"/>
            <w:gridSpan w:val="3"/>
            <w:vMerge w:val="restart"/>
            <w:tcBorders>
              <w:top w:val="nil"/>
              <w:left w:val="single" w:sz="4" w:space="0" w:color="000000"/>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功能分类科目编码</w:t>
            </w:r>
          </w:p>
        </w:tc>
        <w:tc>
          <w:tcPr>
            <w:tcW w:w="3920" w:type="dxa"/>
            <w:vMerge w:val="restart"/>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科目名称</w:t>
            </w:r>
          </w:p>
        </w:tc>
        <w:tc>
          <w:tcPr>
            <w:tcW w:w="226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小计</w:t>
            </w:r>
          </w:p>
        </w:tc>
        <w:tc>
          <w:tcPr>
            <w:tcW w:w="226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基本支出</w:t>
            </w:r>
          </w:p>
        </w:tc>
        <w:tc>
          <w:tcPr>
            <w:tcW w:w="226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项目支出</w:t>
            </w:r>
          </w:p>
        </w:tc>
      </w:tr>
      <w:tr w:rsidR="003B2E49">
        <w:trPr>
          <w:trHeight w:val="312"/>
        </w:trPr>
        <w:tc>
          <w:tcPr>
            <w:tcW w:w="2820" w:type="dxa"/>
            <w:gridSpan w:val="3"/>
            <w:vMerge/>
            <w:tcBorders>
              <w:top w:val="nil"/>
              <w:left w:val="single" w:sz="4" w:space="0" w:color="000000"/>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392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226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226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226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r>
      <w:tr w:rsidR="003B2E49">
        <w:trPr>
          <w:trHeight w:val="312"/>
        </w:trPr>
        <w:tc>
          <w:tcPr>
            <w:tcW w:w="2820" w:type="dxa"/>
            <w:gridSpan w:val="3"/>
            <w:vMerge/>
            <w:tcBorders>
              <w:top w:val="nil"/>
              <w:left w:val="single" w:sz="4" w:space="0" w:color="000000"/>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392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226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226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226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r>
      <w:tr w:rsidR="003B2E49">
        <w:trPr>
          <w:trHeight w:val="300"/>
        </w:trPr>
        <w:tc>
          <w:tcPr>
            <w:tcW w:w="6740" w:type="dxa"/>
            <w:gridSpan w:val="4"/>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栏次</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1</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2</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3</w:t>
            </w:r>
          </w:p>
        </w:tc>
      </w:tr>
      <w:tr w:rsidR="003B2E49">
        <w:trPr>
          <w:trHeight w:val="300"/>
        </w:trPr>
        <w:tc>
          <w:tcPr>
            <w:tcW w:w="6740" w:type="dxa"/>
            <w:gridSpan w:val="4"/>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合计</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10,530.40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4,167.85</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6,362.55</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一般公共服务支出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12.68</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12.68</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20132</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组织事务</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12.68</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12.68</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2013299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其他组织事务支出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12.68</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12.68</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20138</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市场监督管理事务</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2013810</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质量基础</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科学技术支出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3,416.37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3,176.58</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239.79</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20602</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基础研究</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4.94</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4.94</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2060203</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自然科学基金</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4.94</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4.94</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20603</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应用研究</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3,201.90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3,176.58</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25.32</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2060301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机构运行</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3,176.58</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3,176.58</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2060303</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高技术研究</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25.32</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25.32</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20604</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技术研究与开发</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2060404</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科技成果转化与扩散</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2060499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其他技术研究与开发支出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20605</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科技条件与服务</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9.39</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9.39</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2060503</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科技条件专项</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9.39</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9.39</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2060599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其他科技条件与服务支出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20607</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科学技术普及</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10.34</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10.34</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2060702</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科普活动</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9.77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9.77</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2060799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其他科学技术普及支出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0.57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0.57</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20609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科技重大项目</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68.79</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68.79</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lastRenderedPageBreak/>
              <w:t>2060902</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重点研发计划</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68.79</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68.79</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20699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其他科学技术支出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121.02</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121.02</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2069901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科技奖励</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2069999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其他科学技术支出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121.02</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121.02</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208</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社会保障和就业支出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20801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人力资源和社会保障管理事务</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2080115</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博士后日常经费</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2080199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其他人力资源和社会保障管理事务支出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20805</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行政事业单位养老支出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800.00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2080505</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机关事业单位基本养老保险缴费支出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700.00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700.00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2080506</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机关事业单位职业年金缴费支出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100.00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100.00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210</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卫生健康支出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6,109.81</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6,109.81</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21004</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公共卫生</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444.17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444.17</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2100409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重大公共卫生服务</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399.00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399.00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2100499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其他公共卫生支出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45.17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45.17</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21006</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中医药</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477.06</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477.06</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2100601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中医（民族医）药专项</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477.06</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477.06</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21099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其他卫生健康支出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5,188.58</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5,188.58</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2109999</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其他卫生健康支出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5,188.58</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5,188.58</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213</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农林水支出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0.27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0.27</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21301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农业农村</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0.27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0.27</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2130111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统计监测与信息服务</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0.27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0.27</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2130122</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农业生产发展</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21302</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林业和草原</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2130211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动植物保护</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221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住房保障支出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191.27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191.27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22102</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b/>
                <w:bCs/>
                <w:kern w:val="0"/>
                <w:sz w:val="20"/>
                <w:szCs w:val="20"/>
              </w:rPr>
            </w:pPr>
            <w:r>
              <w:rPr>
                <w:rFonts w:ascii="宋体" w:eastAsia="宋体" w:hAnsi="宋体" w:cs="Arial" w:hint="eastAsia"/>
                <w:b/>
                <w:bCs/>
                <w:kern w:val="0"/>
                <w:sz w:val="20"/>
                <w:szCs w:val="20"/>
              </w:rPr>
              <w:t>住房改革支出</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191.27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191.27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0.00</w:t>
            </w:r>
          </w:p>
        </w:tc>
      </w:tr>
      <w:tr w:rsidR="003B2E49">
        <w:trPr>
          <w:trHeight w:val="300"/>
        </w:trPr>
        <w:tc>
          <w:tcPr>
            <w:tcW w:w="2820"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2210201</w:t>
            </w:r>
          </w:p>
        </w:tc>
        <w:tc>
          <w:tcPr>
            <w:tcW w:w="392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住房公积金</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191.27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191.27</w:t>
            </w:r>
          </w:p>
        </w:tc>
        <w:tc>
          <w:tcPr>
            <w:tcW w:w="226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3520" w:type="dxa"/>
            <w:gridSpan w:val="7"/>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注：本表反映部门本年度一般公共预算财政拨款支出情况。</w:t>
            </w:r>
          </w:p>
        </w:tc>
      </w:tr>
    </w:tbl>
    <w:p w:rsidR="003B2E49" w:rsidRDefault="003B2E49">
      <w:pPr>
        <w:widowControl/>
        <w:jc w:val="left"/>
        <w:rPr>
          <w:rFonts w:ascii="Times New Roman" w:eastAsia="仿宋_GB2312" w:hAnsi="Times New Roman" w:cs="Times New Roman"/>
          <w:bCs/>
          <w:kern w:val="0"/>
          <w:szCs w:val="21"/>
        </w:rPr>
      </w:pPr>
    </w:p>
    <w:p w:rsidR="003B2E49" w:rsidRDefault="00A5413E">
      <w:pPr>
        <w:widowControl/>
        <w:jc w:val="left"/>
        <w:rPr>
          <w:rFonts w:ascii="Times New Roman" w:eastAsia="仿宋_GB2312" w:hAnsi="Times New Roman" w:cs="Times New Roman"/>
          <w:bCs/>
          <w:kern w:val="0"/>
          <w:szCs w:val="21"/>
        </w:rPr>
      </w:pPr>
      <w:r>
        <w:rPr>
          <w:rFonts w:ascii="Times New Roman" w:eastAsia="仿宋_GB2312" w:hAnsi="Times New Roman" w:cs="Times New Roman"/>
          <w:bCs/>
          <w:kern w:val="0"/>
          <w:szCs w:val="21"/>
        </w:rPr>
        <w:br w:type="page"/>
      </w:r>
    </w:p>
    <w:tbl>
      <w:tblPr>
        <w:tblW w:w="15304" w:type="dxa"/>
        <w:tblInd w:w="89" w:type="dxa"/>
        <w:tblLook w:val="04A0"/>
      </w:tblPr>
      <w:tblGrid>
        <w:gridCol w:w="740"/>
        <w:gridCol w:w="3038"/>
        <w:gridCol w:w="1200"/>
        <w:gridCol w:w="286"/>
        <w:gridCol w:w="744"/>
        <w:gridCol w:w="2080"/>
        <w:gridCol w:w="824"/>
        <w:gridCol w:w="236"/>
        <w:gridCol w:w="740"/>
        <w:gridCol w:w="3838"/>
        <w:gridCol w:w="1578"/>
      </w:tblGrid>
      <w:tr w:rsidR="003B2E49">
        <w:trPr>
          <w:trHeight w:val="375"/>
        </w:trPr>
        <w:tc>
          <w:tcPr>
            <w:tcW w:w="7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22"/>
              </w:rPr>
            </w:pPr>
            <w:r>
              <w:rPr>
                <w:rFonts w:ascii="宋体" w:eastAsia="宋体" w:hAnsi="宋体" w:cs="Arial" w:hint="eastAsia"/>
                <w:kern w:val="0"/>
                <w:sz w:val="22"/>
              </w:rPr>
              <w:lastRenderedPageBreak/>
              <w:t xml:space="preserve">　</w:t>
            </w:r>
          </w:p>
        </w:tc>
        <w:tc>
          <w:tcPr>
            <w:tcW w:w="303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2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86"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648" w:type="dxa"/>
            <w:gridSpan w:val="3"/>
            <w:tcBorders>
              <w:top w:val="nil"/>
              <w:left w:val="nil"/>
              <w:bottom w:val="nil"/>
              <w:right w:val="nil"/>
            </w:tcBorders>
            <w:shd w:val="clear" w:color="000000" w:fill="FFFFFF"/>
            <w:noWrap/>
            <w:vAlign w:val="center"/>
          </w:tcPr>
          <w:p w:rsidR="003B2E49" w:rsidRDefault="00A5413E">
            <w:pPr>
              <w:widowControl/>
              <w:jc w:val="center"/>
              <w:rPr>
                <w:rFonts w:ascii="黑体" w:eastAsia="黑体" w:hAnsi="黑体" w:cs="Arial"/>
                <w:color w:val="000000"/>
                <w:kern w:val="0"/>
                <w:sz w:val="30"/>
                <w:szCs w:val="30"/>
              </w:rPr>
            </w:pPr>
            <w:r>
              <w:rPr>
                <w:rFonts w:ascii="黑体" w:eastAsia="黑体" w:hAnsi="黑体" w:cs="Arial" w:hint="eastAsia"/>
                <w:color w:val="000000"/>
                <w:kern w:val="0"/>
                <w:sz w:val="30"/>
                <w:szCs w:val="30"/>
              </w:rPr>
              <w:t>一般公共预算财政拨款基本支出决算明细表</w:t>
            </w:r>
          </w:p>
        </w:tc>
        <w:tc>
          <w:tcPr>
            <w:tcW w:w="236"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7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83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7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r>
      <w:tr w:rsidR="003B2E49">
        <w:trPr>
          <w:trHeight w:val="300"/>
        </w:trPr>
        <w:tc>
          <w:tcPr>
            <w:tcW w:w="7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22"/>
              </w:rPr>
            </w:pPr>
            <w:r>
              <w:rPr>
                <w:rFonts w:ascii="宋体" w:eastAsia="宋体" w:hAnsi="宋体" w:cs="Arial" w:hint="eastAsia"/>
                <w:kern w:val="0"/>
                <w:sz w:val="22"/>
              </w:rPr>
              <w:t xml:space="preserve">　</w:t>
            </w:r>
          </w:p>
        </w:tc>
        <w:tc>
          <w:tcPr>
            <w:tcW w:w="303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2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030" w:type="dxa"/>
            <w:gridSpan w:val="2"/>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0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060" w:type="dxa"/>
            <w:gridSpan w:val="2"/>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7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83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7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r>
      <w:tr w:rsidR="003B2E49">
        <w:trPr>
          <w:trHeight w:val="300"/>
        </w:trPr>
        <w:tc>
          <w:tcPr>
            <w:tcW w:w="7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22"/>
              </w:rPr>
            </w:pPr>
            <w:r>
              <w:rPr>
                <w:rFonts w:ascii="宋体" w:eastAsia="宋体" w:hAnsi="宋体" w:cs="Arial" w:hint="eastAsia"/>
                <w:kern w:val="0"/>
                <w:sz w:val="22"/>
              </w:rPr>
              <w:t xml:space="preserve">　</w:t>
            </w:r>
          </w:p>
        </w:tc>
        <w:tc>
          <w:tcPr>
            <w:tcW w:w="303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2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030" w:type="dxa"/>
            <w:gridSpan w:val="2"/>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0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060" w:type="dxa"/>
            <w:gridSpan w:val="2"/>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7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83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7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r>
      <w:tr w:rsidR="003B2E49">
        <w:trPr>
          <w:trHeight w:val="300"/>
        </w:trPr>
        <w:tc>
          <w:tcPr>
            <w:tcW w:w="7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22"/>
              </w:rPr>
            </w:pPr>
            <w:r>
              <w:rPr>
                <w:rFonts w:ascii="宋体" w:eastAsia="宋体" w:hAnsi="宋体" w:cs="Arial" w:hint="eastAsia"/>
                <w:kern w:val="0"/>
                <w:sz w:val="22"/>
              </w:rPr>
              <w:t xml:space="preserve">　</w:t>
            </w:r>
          </w:p>
        </w:tc>
        <w:tc>
          <w:tcPr>
            <w:tcW w:w="303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2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030" w:type="dxa"/>
            <w:gridSpan w:val="2"/>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0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060" w:type="dxa"/>
            <w:gridSpan w:val="2"/>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7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83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7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r>
      <w:tr w:rsidR="003B2E49">
        <w:trPr>
          <w:trHeight w:val="300"/>
        </w:trPr>
        <w:tc>
          <w:tcPr>
            <w:tcW w:w="7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03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20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030" w:type="dxa"/>
            <w:gridSpan w:val="2"/>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08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060" w:type="dxa"/>
            <w:gridSpan w:val="2"/>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740"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838" w:type="dxa"/>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78" w:type="dxa"/>
            <w:tcBorders>
              <w:top w:val="nil"/>
              <w:left w:val="nil"/>
              <w:bottom w:val="nil"/>
              <w:right w:val="nil"/>
            </w:tcBorders>
            <w:shd w:val="clear" w:color="000000" w:fill="FFFFFF"/>
            <w:noWrap/>
            <w:vAlign w:val="center"/>
          </w:tcPr>
          <w:p w:rsidR="003B2E49" w:rsidRDefault="00A5413E">
            <w:pPr>
              <w:widowControl/>
              <w:jc w:val="right"/>
              <w:rPr>
                <w:rFonts w:ascii="宋体" w:eastAsia="宋体" w:hAnsi="宋体" w:cs="Arial"/>
                <w:color w:val="000000"/>
                <w:kern w:val="0"/>
                <w:sz w:val="22"/>
              </w:rPr>
            </w:pPr>
            <w:r>
              <w:rPr>
                <w:rFonts w:ascii="宋体" w:eastAsia="宋体" w:hAnsi="宋体" w:cs="Arial" w:hint="eastAsia"/>
                <w:color w:val="000000"/>
                <w:kern w:val="0"/>
                <w:sz w:val="22"/>
              </w:rPr>
              <w:t>公开06表</w:t>
            </w:r>
          </w:p>
        </w:tc>
      </w:tr>
      <w:tr w:rsidR="003B2E49">
        <w:trPr>
          <w:trHeight w:val="300"/>
        </w:trPr>
        <w:tc>
          <w:tcPr>
            <w:tcW w:w="3778" w:type="dxa"/>
            <w:gridSpan w:val="2"/>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color w:val="000000"/>
                <w:kern w:val="0"/>
                <w:sz w:val="20"/>
                <w:szCs w:val="20"/>
              </w:rPr>
            </w:pPr>
            <w:r>
              <w:rPr>
                <w:rFonts w:ascii="宋体" w:eastAsia="宋体" w:hAnsi="宋体" w:cs="Arial" w:hint="eastAsia"/>
                <w:color w:val="000000"/>
                <w:kern w:val="0"/>
                <w:sz w:val="20"/>
                <w:szCs w:val="20"/>
              </w:rPr>
              <w:t>部门：湖南省中医药研究院</w:t>
            </w:r>
          </w:p>
        </w:tc>
        <w:tc>
          <w:tcPr>
            <w:tcW w:w="120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030" w:type="dxa"/>
            <w:gridSpan w:val="2"/>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080" w:type="dxa"/>
            <w:tcBorders>
              <w:top w:val="nil"/>
              <w:left w:val="nil"/>
              <w:bottom w:val="single" w:sz="4" w:space="0" w:color="auto"/>
              <w:right w:val="nil"/>
            </w:tcBorders>
            <w:shd w:val="clear" w:color="000000" w:fill="FFFFFF"/>
            <w:noWrap/>
            <w:vAlign w:val="center"/>
          </w:tcPr>
          <w:p w:rsidR="003B2E49" w:rsidRDefault="00A5413E">
            <w:pPr>
              <w:widowControl/>
              <w:jc w:val="center"/>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060" w:type="dxa"/>
            <w:gridSpan w:val="2"/>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740"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838" w:type="dxa"/>
            <w:tcBorders>
              <w:top w:val="nil"/>
              <w:left w:val="nil"/>
              <w:bottom w:val="single" w:sz="4" w:space="0" w:color="auto"/>
              <w:right w:val="nil"/>
            </w:tcBorders>
            <w:shd w:val="clear" w:color="000000" w:fill="FFFFFF"/>
            <w:noWrap/>
            <w:vAlign w:val="center"/>
          </w:tcPr>
          <w:p w:rsidR="003B2E49" w:rsidRDefault="00A5413E">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78" w:type="dxa"/>
            <w:tcBorders>
              <w:top w:val="nil"/>
              <w:left w:val="nil"/>
              <w:bottom w:val="single" w:sz="4" w:space="0" w:color="auto"/>
              <w:right w:val="nil"/>
            </w:tcBorders>
            <w:shd w:val="clear" w:color="000000" w:fill="FFFFFF"/>
            <w:noWrap/>
            <w:vAlign w:val="center"/>
          </w:tcPr>
          <w:p w:rsidR="003B2E49" w:rsidRDefault="00A5413E">
            <w:pPr>
              <w:widowControl/>
              <w:jc w:val="right"/>
              <w:rPr>
                <w:rFonts w:ascii="宋体" w:eastAsia="宋体" w:hAnsi="宋体" w:cs="Arial"/>
                <w:color w:val="000000"/>
                <w:kern w:val="0"/>
                <w:sz w:val="22"/>
              </w:rPr>
            </w:pPr>
            <w:r>
              <w:rPr>
                <w:rFonts w:ascii="宋体" w:eastAsia="宋体" w:hAnsi="宋体" w:cs="Arial" w:hint="eastAsia"/>
                <w:color w:val="000000"/>
                <w:kern w:val="0"/>
                <w:sz w:val="22"/>
              </w:rPr>
              <w:t>金额单位：万元</w:t>
            </w:r>
          </w:p>
        </w:tc>
      </w:tr>
      <w:tr w:rsidR="003B2E49">
        <w:trPr>
          <w:trHeight w:val="300"/>
        </w:trPr>
        <w:tc>
          <w:tcPr>
            <w:tcW w:w="4978" w:type="dxa"/>
            <w:gridSpan w:val="3"/>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人员经费</w:t>
            </w:r>
          </w:p>
        </w:tc>
        <w:tc>
          <w:tcPr>
            <w:tcW w:w="10326" w:type="dxa"/>
            <w:gridSpan w:val="8"/>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公用经费</w:t>
            </w:r>
          </w:p>
        </w:tc>
      </w:tr>
      <w:tr w:rsidR="003B2E49">
        <w:trPr>
          <w:trHeight w:val="312"/>
        </w:trPr>
        <w:tc>
          <w:tcPr>
            <w:tcW w:w="740" w:type="dxa"/>
            <w:vMerge w:val="restart"/>
            <w:tcBorders>
              <w:top w:val="nil"/>
              <w:left w:val="single" w:sz="4" w:space="0" w:color="000000"/>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科目编码</w:t>
            </w:r>
          </w:p>
        </w:tc>
        <w:tc>
          <w:tcPr>
            <w:tcW w:w="3038"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科目名称</w:t>
            </w:r>
          </w:p>
        </w:tc>
        <w:tc>
          <w:tcPr>
            <w:tcW w:w="120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决算数</w:t>
            </w:r>
          </w:p>
        </w:tc>
        <w:tc>
          <w:tcPr>
            <w:tcW w:w="1030" w:type="dxa"/>
            <w:gridSpan w:val="2"/>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科目编码</w:t>
            </w:r>
          </w:p>
        </w:tc>
        <w:tc>
          <w:tcPr>
            <w:tcW w:w="208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科目名称</w:t>
            </w:r>
          </w:p>
        </w:tc>
        <w:tc>
          <w:tcPr>
            <w:tcW w:w="1060" w:type="dxa"/>
            <w:gridSpan w:val="2"/>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决算数</w:t>
            </w:r>
          </w:p>
        </w:tc>
        <w:tc>
          <w:tcPr>
            <w:tcW w:w="740"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科目编码</w:t>
            </w:r>
          </w:p>
        </w:tc>
        <w:tc>
          <w:tcPr>
            <w:tcW w:w="3838"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科目名称</w:t>
            </w:r>
          </w:p>
        </w:tc>
        <w:tc>
          <w:tcPr>
            <w:tcW w:w="1578" w:type="dxa"/>
            <w:vMerge w:val="restart"/>
            <w:tcBorders>
              <w:top w:val="nil"/>
              <w:left w:val="nil"/>
              <w:bottom w:val="single" w:sz="4" w:space="0" w:color="000000"/>
              <w:right w:val="single" w:sz="4" w:space="0" w:color="000000"/>
            </w:tcBorders>
            <w:shd w:val="clear" w:color="000000" w:fill="FFFFFF"/>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决算数</w:t>
            </w:r>
          </w:p>
        </w:tc>
      </w:tr>
      <w:tr w:rsidR="003B2E49">
        <w:trPr>
          <w:trHeight w:val="312"/>
        </w:trPr>
        <w:tc>
          <w:tcPr>
            <w:tcW w:w="740" w:type="dxa"/>
            <w:vMerge/>
            <w:tcBorders>
              <w:top w:val="nil"/>
              <w:left w:val="single" w:sz="4" w:space="0" w:color="000000"/>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3038"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20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030" w:type="dxa"/>
            <w:gridSpan w:val="2"/>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208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060" w:type="dxa"/>
            <w:gridSpan w:val="2"/>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740"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3838"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c>
          <w:tcPr>
            <w:tcW w:w="1578" w:type="dxa"/>
            <w:vMerge/>
            <w:tcBorders>
              <w:top w:val="nil"/>
              <w:left w:val="nil"/>
              <w:bottom w:val="single" w:sz="4" w:space="0" w:color="000000"/>
              <w:right w:val="single" w:sz="4" w:space="0" w:color="000000"/>
            </w:tcBorders>
            <w:vAlign w:val="center"/>
          </w:tcPr>
          <w:p w:rsidR="003B2E49" w:rsidRDefault="003B2E49">
            <w:pPr>
              <w:widowControl/>
              <w:jc w:val="left"/>
              <w:rPr>
                <w:rFonts w:ascii="宋体" w:eastAsia="宋体" w:hAnsi="宋体" w:cs="Arial"/>
                <w:kern w:val="0"/>
                <w:sz w:val="20"/>
                <w:szCs w:val="20"/>
              </w:rPr>
            </w:pP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工资福利支出</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4,167.85</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商品和服务支出</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307</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债务利息及费用支出</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30101</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基本工资</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2,783.17</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30201</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办公费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30701</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国内债务付息</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30102</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津贴补贴</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393.41</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30202</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印刷费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30702</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国外债务付息</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30103</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奖金</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30203</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咨询费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资本性支出</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30106</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伙食补助费</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30204</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手续费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31001</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房屋建筑物购建</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30107</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绩效工资</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30205</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水费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31002</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办公设备购置</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30108</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机关事业单位基本养老保险缴费</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700.00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30206</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电费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31003</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专用设备购置</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30109</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职业年金缴费</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100.00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30207</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邮电费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31005</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基础设施建设</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30110</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职工基本医疗保险缴费</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30208</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取暖费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31006</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大型修缮</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30111</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公务员医疗补助缴费</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30209</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物业管理费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31007</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信息网络及软件购置更新</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30112</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其他社会保障缴费</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30211</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差旅费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31008</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物资储备</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30113</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住房公积金</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191.27</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30212</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因公出国（境）费用</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31009</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土地补偿</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30114</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医疗费</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30213</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维修（护）费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31010</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安置补助</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30199</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其他工资福利支出</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30214</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租赁费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31011</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地上附着物和青苗补偿</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303</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对个人和家庭的补助</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30215</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会议费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31012</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拆迁补偿</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30301</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离休费</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30216</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培训费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31013</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公务用车购置</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30302</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退休费</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30217</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公务接待费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31019</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其他交通工具购置</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lastRenderedPageBreak/>
              <w:t>30303</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退职（役）费</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30218</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专用材料费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31021</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文物和陈列品购置</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30304</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抚恤金</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30224</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被装购置费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31022</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无形资产购置</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30305</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生活补助</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30225</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专用燃料费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31099</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其他资本性支出</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30306</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救济费</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30226</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劳务费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399</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其他支出</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30307</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医疗费补助</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30227</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委托业务费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39906</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赠与</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30308</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助学金</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30228</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工会经费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39907</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国家赔偿费用支出</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30309</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奖励金</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30229</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福利费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39908</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对民间非营利组织和群众性自治组织补贴</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30310</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个人农业生产补贴</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30231</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公务用车运行维护费</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39999</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其他支出</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30311</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代缴社会保险费</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30239</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其他交通费用</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30399</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其他对个人和家庭的补助</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30240</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税金及附加费用</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r>
      <w:tr w:rsidR="003B2E49">
        <w:trPr>
          <w:trHeight w:val="300"/>
        </w:trPr>
        <w:tc>
          <w:tcPr>
            <w:tcW w:w="740" w:type="dxa"/>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30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03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30299</w:t>
            </w:r>
          </w:p>
        </w:tc>
        <w:tc>
          <w:tcPr>
            <w:tcW w:w="208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其他商品和服务支出</w:t>
            </w:r>
          </w:p>
        </w:tc>
        <w:tc>
          <w:tcPr>
            <w:tcW w:w="1060" w:type="dxa"/>
            <w:gridSpan w:val="2"/>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c>
          <w:tcPr>
            <w:tcW w:w="74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383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r>
      <w:tr w:rsidR="003B2E49">
        <w:trPr>
          <w:trHeight w:val="300"/>
        </w:trPr>
        <w:tc>
          <w:tcPr>
            <w:tcW w:w="3778" w:type="dxa"/>
            <w:gridSpan w:val="2"/>
            <w:tcBorders>
              <w:top w:val="nil"/>
              <w:left w:val="single" w:sz="4" w:space="0" w:color="000000"/>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人员经费合计</w:t>
            </w:r>
          </w:p>
        </w:tc>
        <w:tc>
          <w:tcPr>
            <w:tcW w:w="1200"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4,167.85</w:t>
            </w:r>
          </w:p>
        </w:tc>
        <w:tc>
          <w:tcPr>
            <w:tcW w:w="8748" w:type="dxa"/>
            <w:gridSpan w:val="7"/>
            <w:tcBorders>
              <w:top w:val="nil"/>
              <w:left w:val="nil"/>
              <w:bottom w:val="single" w:sz="4" w:space="0" w:color="000000"/>
              <w:right w:val="single" w:sz="4" w:space="0" w:color="000000"/>
            </w:tcBorders>
            <w:shd w:val="clear" w:color="000000" w:fill="FFFFFF"/>
            <w:noWrap/>
            <w:vAlign w:val="center"/>
          </w:tcPr>
          <w:p w:rsidR="003B2E49" w:rsidRDefault="00A5413E">
            <w:pPr>
              <w:widowControl/>
              <w:jc w:val="center"/>
              <w:rPr>
                <w:rFonts w:ascii="宋体" w:eastAsia="宋体" w:hAnsi="宋体" w:cs="Arial"/>
                <w:kern w:val="0"/>
                <w:sz w:val="20"/>
                <w:szCs w:val="20"/>
              </w:rPr>
            </w:pPr>
            <w:r>
              <w:rPr>
                <w:rFonts w:ascii="宋体" w:eastAsia="宋体" w:hAnsi="宋体" w:cs="Arial" w:hint="eastAsia"/>
                <w:kern w:val="0"/>
                <w:sz w:val="20"/>
                <w:szCs w:val="20"/>
              </w:rPr>
              <w:t>公用经费合计</w:t>
            </w:r>
          </w:p>
        </w:tc>
        <w:tc>
          <w:tcPr>
            <w:tcW w:w="1578" w:type="dxa"/>
            <w:tcBorders>
              <w:top w:val="nil"/>
              <w:left w:val="nil"/>
              <w:bottom w:val="single" w:sz="4" w:space="0" w:color="000000"/>
              <w:right w:val="single" w:sz="4" w:space="0" w:color="000000"/>
            </w:tcBorders>
            <w:shd w:val="clear" w:color="000000" w:fill="FFFFFF"/>
            <w:noWrap/>
            <w:vAlign w:val="center"/>
          </w:tcPr>
          <w:p w:rsidR="003B2E49" w:rsidRDefault="00A5413E">
            <w:pPr>
              <w:widowControl/>
              <w:jc w:val="right"/>
              <w:rPr>
                <w:rFonts w:ascii="宋体" w:eastAsia="宋体" w:hAnsi="宋体" w:cs="Arial"/>
                <w:kern w:val="0"/>
                <w:sz w:val="20"/>
                <w:szCs w:val="20"/>
              </w:rPr>
            </w:pPr>
            <w:r>
              <w:rPr>
                <w:rFonts w:ascii="宋体" w:eastAsia="宋体" w:hAnsi="宋体" w:cs="Arial" w:hint="eastAsia"/>
                <w:kern w:val="0"/>
                <w:sz w:val="20"/>
                <w:szCs w:val="20"/>
              </w:rPr>
              <w:t>0.00</w:t>
            </w:r>
          </w:p>
        </w:tc>
      </w:tr>
      <w:tr w:rsidR="003B2E49">
        <w:trPr>
          <w:trHeight w:val="300"/>
        </w:trPr>
        <w:tc>
          <w:tcPr>
            <w:tcW w:w="15304" w:type="dxa"/>
            <w:gridSpan w:val="11"/>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Arial"/>
                <w:kern w:val="0"/>
                <w:sz w:val="20"/>
                <w:szCs w:val="20"/>
              </w:rPr>
            </w:pPr>
            <w:r>
              <w:rPr>
                <w:rFonts w:ascii="宋体" w:eastAsia="宋体" w:hAnsi="宋体" w:cs="Arial" w:hint="eastAsia"/>
                <w:kern w:val="0"/>
                <w:sz w:val="20"/>
                <w:szCs w:val="20"/>
              </w:rPr>
              <w:t>注：本表反映部门本年度一般公共预算财政拨款基本支出明细情况。</w:t>
            </w:r>
          </w:p>
        </w:tc>
      </w:tr>
    </w:tbl>
    <w:p w:rsidR="003B2E49" w:rsidRDefault="003B2E49">
      <w:pPr>
        <w:widowControl/>
        <w:jc w:val="center"/>
        <w:rPr>
          <w:rFonts w:ascii="Times New Roman" w:eastAsia="方正小标宋_GBK" w:hAnsi="Times New Roman" w:cs="Times New Roman"/>
          <w:color w:val="000000"/>
          <w:kern w:val="0"/>
          <w:sz w:val="36"/>
          <w:szCs w:val="36"/>
        </w:rPr>
      </w:pPr>
    </w:p>
    <w:p w:rsidR="003B2E49" w:rsidRDefault="003B2E49">
      <w:pPr>
        <w:widowControl/>
        <w:jc w:val="center"/>
        <w:rPr>
          <w:rFonts w:ascii="Times New Roman" w:eastAsia="方正小标宋_GBK" w:hAnsi="Times New Roman" w:cs="Times New Roman"/>
          <w:color w:val="000000"/>
          <w:kern w:val="0"/>
          <w:sz w:val="36"/>
          <w:szCs w:val="36"/>
        </w:rPr>
      </w:pPr>
    </w:p>
    <w:p w:rsidR="003B2E49" w:rsidRDefault="003B2E49">
      <w:pPr>
        <w:widowControl/>
        <w:jc w:val="center"/>
        <w:rPr>
          <w:rFonts w:ascii="Times New Roman" w:eastAsia="方正小标宋_GBK" w:hAnsi="Times New Roman" w:cs="Times New Roman"/>
          <w:color w:val="000000"/>
          <w:kern w:val="0"/>
          <w:sz w:val="36"/>
          <w:szCs w:val="36"/>
        </w:rPr>
      </w:pPr>
    </w:p>
    <w:p w:rsidR="003B2E49" w:rsidRDefault="003B2E49">
      <w:pPr>
        <w:widowControl/>
        <w:jc w:val="center"/>
        <w:rPr>
          <w:rFonts w:ascii="Times New Roman" w:eastAsia="方正小标宋_GBK" w:hAnsi="Times New Roman" w:cs="Times New Roman"/>
          <w:color w:val="000000"/>
          <w:kern w:val="0"/>
          <w:sz w:val="36"/>
          <w:szCs w:val="36"/>
        </w:rPr>
      </w:pPr>
    </w:p>
    <w:p w:rsidR="003B2E49" w:rsidRDefault="003B2E49">
      <w:pPr>
        <w:widowControl/>
        <w:jc w:val="center"/>
        <w:rPr>
          <w:rFonts w:ascii="Times New Roman" w:eastAsia="方正小标宋_GBK" w:hAnsi="Times New Roman" w:cs="Times New Roman"/>
          <w:color w:val="000000"/>
          <w:kern w:val="0"/>
          <w:sz w:val="36"/>
          <w:szCs w:val="36"/>
        </w:rPr>
      </w:pPr>
    </w:p>
    <w:p w:rsidR="003B2E49" w:rsidRDefault="003B2E49">
      <w:pPr>
        <w:widowControl/>
        <w:jc w:val="center"/>
        <w:rPr>
          <w:rFonts w:ascii="Times New Roman" w:eastAsia="方正小标宋_GBK" w:hAnsi="Times New Roman" w:cs="Times New Roman"/>
          <w:color w:val="000000"/>
          <w:kern w:val="0"/>
          <w:sz w:val="36"/>
          <w:szCs w:val="36"/>
        </w:rPr>
      </w:pPr>
    </w:p>
    <w:p w:rsidR="003B2E49" w:rsidRDefault="003B2E49">
      <w:pPr>
        <w:widowControl/>
        <w:jc w:val="center"/>
        <w:rPr>
          <w:rFonts w:ascii="Times New Roman" w:eastAsia="方正小标宋_GBK" w:hAnsi="Times New Roman" w:cs="Times New Roman"/>
          <w:color w:val="000000"/>
          <w:kern w:val="0"/>
          <w:sz w:val="36"/>
          <w:szCs w:val="36"/>
        </w:rPr>
      </w:pPr>
    </w:p>
    <w:p w:rsidR="003B2E49" w:rsidRDefault="003B2E49">
      <w:pPr>
        <w:widowControl/>
        <w:jc w:val="center"/>
        <w:rPr>
          <w:rFonts w:ascii="Times New Roman" w:eastAsia="方正小标宋_GBK" w:hAnsi="Times New Roman" w:cs="Times New Roman"/>
          <w:color w:val="000000"/>
          <w:kern w:val="0"/>
          <w:sz w:val="36"/>
          <w:szCs w:val="36"/>
        </w:rPr>
      </w:pPr>
    </w:p>
    <w:p w:rsidR="003B2E49" w:rsidRDefault="003B2E49">
      <w:pPr>
        <w:widowControl/>
        <w:jc w:val="center"/>
        <w:rPr>
          <w:rFonts w:ascii="Times New Roman" w:eastAsia="方正小标宋_GBK" w:hAnsi="Times New Roman" w:cs="Times New Roman"/>
          <w:color w:val="000000"/>
          <w:kern w:val="0"/>
          <w:sz w:val="36"/>
          <w:szCs w:val="36"/>
        </w:rPr>
      </w:pPr>
    </w:p>
    <w:p w:rsidR="003B2E49" w:rsidRDefault="003B2E49">
      <w:pPr>
        <w:widowControl/>
        <w:jc w:val="center"/>
        <w:rPr>
          <w:rFonts w:ascii="Times New Roman" w:eastAsia="方正小标宋_GBK" w:hAnsi="Times New Roman" w:cs="Times New Roman"/>
          <w:color w:val="000000"/>
          <w:kern w:val="0"/>
          <w:sz w:val="36"/>
          <w:szCs w:val="36"/>
        </w:rPr>
      </w:pPr>
    </w:p>
    <w:p w:rsidR="003B2E49" w:rsidRDefault="003B2E49">
      <w:pPr>
        <w:widowControl/>
        <w:jc w:val="center"/>
        <w:rPr>
          <w:rFonts w:ascii="Times New Roman" w:eastAsia="方正小标宋_GBK" w:hAnsi="Times New Roman" w:cs="Times New Roman"/>
          <w:color w:val="000000"/>
          <w:kern w:val="0"/>
          <w:sz w:val="36"/>
          <w:szCs w:val="36"/>
        </w:rPr>
      </w:pPr>
    </w:p>
    <w:p w:rsidR="003B2E49" w:rsidRDefault="003B2E49">
      <w:pPr>
        <w:widowControl/>
        <w:jc w:val="center"/>
        <w:rPr>
          <w:rFonts w:ascii="Times New Roman" w:eastAsia="方正小标宋_GBK" w:hAnsi="Times New Roman" w:cs="Times New Roman"/>
          <w:color w:val="000000"/>
          <w:kern w:val="0"/>
          <w:sz w:val="36"/>
          <w:szCs w:val="36"/>
        </w:rPr>
      </w:pPr>
    </w:p>
    <w:p w:rsidR="003B2E49" w:rsidRDefault="00A5413E">
      <w:pPr>
        <w:widowControl/>
        <w:jc w:val="center"/>
        <w:rPr>
          <w:rFonts w:ascii="Times New Roman" w:eastAsia="方正小标宋_GBK" w:hAnsi="Times New Roman" w:cs="Times New Roman"/>
          <w:color w:val="000000"/>
          <w:kern w:val="0"/>
          <w:sz w:val="36"/>
          <w:szCs w:val="36"/>
        </w:rPr>
      </w:pPr>
      <w:r>
        <w:rPr>
          <w:rFonts w:ascii="Times New Roman" w:eastAsia="方正小标宋_GBK" w:hAnsi="Times New Roman" w:cs="Times New Roman" w:hint="eastAsia"/>
          <w:color w:val="000000"/>
          <w:kern w:val="0"/>
          <w:sz w:val="36"/>
          <w:szCs w:val="36"/>
        </w:rPr>
        <w:t>一般公共预算财政拨款“三公”经费支出决算表</w:t>
      </w:r>
    </w:p>
    <w:p w:rsidR="003B2E49" w:rsidRDefault="00A5413E">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部门：</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color w:val="000000"/>
          <w:kern w:val="0"/>
          <w:szCs w:val="21"/>
        </w:rPr>
        <w:t>公开</w:t>
      </w:r>
      <w:r>
        <w:rPr>
          <w:rFonts w:ascii="Times New Roman" w:eastAsia="仿宋_GB2312" w:hAnsi="Times New Roman" w:cs="Times New Roman"/>
          <w:color w:val="000000"/>
          <w:kern w:val="0"/>
          <w:szCs w:val="21"/>
        </w:rPr>
        <w:t>0</w:t>
      </w:r>
      <w:r>
        <w:rPr>
          <w:rFonts w:ascii="Times New Roman" w:eastAsia="仿宋_GB2312" w:hAnsi="Times New Roman" w:cs="Times New Roman" w:hint="eastAsia"/>
          <w:color w:val="000000"/>
          <w:kern w:val="0"/>
          <w:szCs w:val="21"/>
        </w:rPr>
        <w:t>7</w:t>
      </w:r>
      <w:r>
        <w:rPr>
          <w:rFonts w:ascii="Times New Roman" w:eastAsia="仿宋_GB2312" w:hAnsi="Times New Roman" w:cs="Times New Roman"/>
          <w:color w:val="000000"/>
          <w:kern w:val="0"/>
          <w:szCs w:val="21"/>
        </w:rPr>
        <w:t>表</w:t>
      </w:r>
    </w:p>
    <w:p w:rsidR="003B2E49" w:rsidRDefault="00A5413E">
      <w:pPr>
        <w:widowControl/>
        <w:ind w:right="420"/>
        <w:jc w:val="righ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单位：万元</w:t>
      </w:r>
    </w:p>
    <w:tbl>
      <w:tblPr>
        <w:tblW w:w="14640" w:type="dxa"/>
        <w:jc w:val="center"/>
        <w:tblLook w:val="04A0"/>
      </w:tblPr>
      <w:tblGrid>
        <w:gridCol w:w="1220"/>
        <w:gridCol w:w="1220"/>
        <w:gridCol w:w="1220"/>
        <w:gridCol w:w="1220"/>
        <w:gridCol w:w="1220"/>
        <w:gridCol w:w="1220"/>
        <w:gridCol w:w="1220"/>
        <w:gridCol w:w="1220"/>
        <w:gridCol w:w="1220"/>
        <w:gridCol w:w="1220"/>
        <w:gridCol w:w="1220"/>
        <w:gridCol w:w="1220"/>
      </w:tblGrid>
      <w:tr w:rsidR="003B2E49">
        <w:trPr>
          <w:trHeight w:val="397"/>
          <w:jc w:val="center"/>
        </w:trPr>
        <w:tc>
          <w:tcPr>
            <w:tcW w:w="7320" w:type="dxa"/>
            <w:gridSpan w:val="6"/>
            <w:tcBorders>
              <w:top w:val="single" w:sz="8" w:space="0" w:color="auto"/>
              <w:left w:val="single" w:sz="8" w:space="0" w:color="auto"/>
              <w:bottom w:val="single" w:sz="4" w:space="0" w:color="auto"/>
              <w:right w:val="single" w:sz="4" w:space="0" w:color="000000"/>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预算数</w:t>
            </w:r>
          </w:p>
        </w:tc>
        <w:tc>
          <w:tcPr>
            <w:tcW w:w="7320" w:type="dxa"/>
            <w:gridSpan w:val="6"/>
            <w:tcBorders>
              <w:top w:val="single" w:sz="8" w:space="0" w:color="auto"/>
              <w:left w:val="nil"/>
              <w:bottom w:val="single" w:sz="4" w:space="0" w:color="auto"/>
              <w:right w:val="single" w:sz="8" w:space="0" w:color="000000"/>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决算数</w:t>
            </w:r>
          </w:p>
        </w:tc>
      </w:tr>
      <w:tr w:rsidR="003B2E49">
        <w:trPr>
          <w:trHeight w:val="397"/>
          <w:jc w:val="center"/>
        </w:trPr>
        <w:tc>
          <w:tcPr>
            <w:tcW w:w="1220" w:type="dxa"/>
            <w:vMerge w:val="restart"/>
            <w:tcBorders>
              <w:top w:val="nil"/>
              <w:left w:val="single" w:sz="8" w:space="0" w:color="auto"/>
              <w:bottom w:val="single" w:sz="4" w:space="0" w:color="000000"/>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合计</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因公出国（境）费</w:t>
            </w:r>
          </w:p>
        </w:tc>
        <w:tc>
          <w:tcPr>
            <w:tcW w:w="3660" w:type="dxa"/>
            <w:gridSpan w:val="3"/>
            <w:tcBorders>
              <w:top w:val="single" w:sz="4" w:space="0" w:color="auto"/>
              <w:left w:val="nil"/>
              <w:bottom w:val="single" w:sz="4" w:space="0" w:color="auto"/>
              <w:right w:val="single" w:sz="4" w:space="0" w:color="000000"/>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公务用车购置及运行费</w:t>
            </w:r>
          </w:p>
        </w:tc>
        <w:tc>
          <w:tcPr>
            <w:tcW w:w="1220" w:type="dxa"/>
            <w:vMerge w:val="restart"/>
            <w:tcBorders>
              <w:top w:val="nil"/>
              <w:left w:val="single" w:sz="4" w:space="0" w:color="auto"/>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w:t>
            </w:r>
          </w:p>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接待费</w:t>
            </w:r>
          </w:p>
        </w:tc>
        <w:tc>
          <w:tcPr>
            <w:tcW w:w="1220" w:type="dxa"/>
            <w:vMerge w:val="restart"/>
            <w:tcBorders>
              <w:top w:val="nil"/>
              <w:left w:val="nil"/>
              <w:bottom w:val="single" w:sz="4" w:space="0" w:color="000000"/>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合计</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因公出国（境）费</w:t>
            </w:r>
          </w:p>
        </w:tc>
        <w:tc>
          <w:tcPr>
            <w:tcW w:w="3660" w:type="dxa"/>
            <w:gridSpan w:val="3"/>
            <w:tcBorders>
              <w:top w:val="single" w:sz="4" w:space="0" w:color="auto"/>
              <w:left w:val="nil"/>
              <w:bottom w:val="single" w:sz="4" w:space="0" w:color="auto"/>
              <w:right w:val="single" w:sz="4" w:space="0" w:color="000000"/>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公务用车购置及运行费</w:t>
            </w:r>
          </w:p>
        </w:tc>
        <w:tc>
          <w:tcPr>
            <w:tcW w:w="1220" w:type="dxa"/>
            <w:vMerge w:val="restart"/>
            <w:tcBorders>
              <w:top w:val="nil"/>
              <w:left w:val="single" w:sz="4" w:space="0" w:color="auto"/>
              <w:bottom w:val="single" w:sz="4" w:space="0" w:color="000000"/>
              <w:right w:val="single" w:sz="8"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w:t>
            </w:r>
          </w:p>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接待费</w:t>
            </w:r>
          </w:p>
        </w:tc>
      </w:tr>
      <w:tr w:rsidR="003B2E49">
        <w:trPr>
          <w:trHeight w:val="397"/>
          <w:jc w:val="center"/>
        </w:trPr>
        <w:tc>
          <w:tcPr>
            <w:tcW w:w="1220" w:type="dxa"/>
            <w:vMerge/>
            <w:tcBorders>
              <w:top w:val="nil"/>
              <w:left w:val="single" w:sz="8" w:space="0" w:color="auto"/>
              <w:bottom w:val="single" w:sz="4" w:space="0" w:color="000000"/>
              <w:right w:val="single" w:sz="4" w:space="0" w:color="auto"/>
            </w:tcBorders>
            <w:vAlign w:val="center"/>
          </w:tcPr>
          <w:p w:rsidR="003B2E49" w:rsidRDefault="003B2E49">
            <w:pPr>
              <w:widowControl/>
              <w:jc w:val="left"/>
              <w:rPr>
                <w:rFonts w:ascii="Times New Roman" w:eastAsia="仿宋_GB2312" w:hAnsi="Times New Roman" w:cs="Times New Roman"/>
                <w:kern w:val="0"/>
                <w:szCs w:val="21"/>
              </w:rPr>
            </w:pPr>
          </w:p>
        </w:tc>
        <w:tc>
          <w:tcPr>
            <w:tcW w:w="1220" w:type="dxa"/>
            <w:vMerge/>
            <w:tcBorders>
              <w:top w:val="nil"/>
              <w:left w:val="single" w:sz="4" w:space="0" w:color="auto"/>
              <w:bottom w:val="single" w:sz="4" w:space="0" w:color="000000"/>
              <w:right w:val="single" w:sz="4" w:space="0" w:color="auto"/>
            </w:tcBorders>
            <w:vAlign w:val="center"/>
          </w:tcPr>
          <w:p w:rsidR="003B2E49" w:rsidRDefault="003B2E49">
            <w:pPr>
              <w:widowControl/>
              <w:jc w:val="left"/>
              <w:rPr>
                <w:rFonts w:ascii="Times New Roman" w:eastAsia="仿宋_GB2312" w:hAnsi="Times New Roman" w:cs="Times New Roman"/>
                <w:kern w:val="0"/>
                <w:szCs w:val="21"/>
              </w:rPr>
            </w:pP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小计</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公务用车</w:t>
            </w:r>
          </w:p>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购置费</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公务用车</w:t>
            </w:r>
          </w:p>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运行费</w:t>
            </w:r>
          </w:p>
        </w:tc>
        <w:tc>
          <w:tcPr>
            <w:tcW w:w="1220" w:type="dxa"/>
            <w:vMerge/>
            <w:tcBorders>
              <w:top w:val="nil"/>
              <w:left w:val="single" w:sz="4" w:space="0" w:color="auto"/>
              <w:bottom w:val="single" w:sz="4" w:space="0" w:color="auto"/>
              <w:right w:val="single" w:sz="4" w:space="0" w:color="auto"/>
            </w:tcBorders>
            <w:vAlign w:val="center"/>
          </w:tcPr>
          <w:p w:rsidR="003B2E49" w:rsidRDefault="003B2E49">
            <w:pPr>
              <w:widowControl/>
              <w:jc w:val="left"/>
              <w:rPr>
                <w:rFonts w:ascii="Times New Roman" w:eastAsia="仿宋_GB2312" w:hAnsi="Times New Roman" w:cs="Times New Roman"/>
                <w:kern w:val="0"/>
                <w:szCs w:val="21"/>
              </w:rPr>
            </w:pPr>
          </w:p>
        </w:tc>
        <w:tc>
          <w:tcPr>
            <w:tcW w:w="1220" w:type="dxa"/>
            <w:vMerge/>
            <w:tcBorders>
              <w:top w:val="nil"/>
              <w:left w:val="nil"/>
              <w:bottom w:val="single" w:sz="4" w:space="0" w:color="000000"/>
              <w:right w:val="single" w:sz="4" w:space="0" w:color="auto"/>
            </w:tcBorders>
            <w:vAlign w:val="center"/>
          </w:tcPr>
          <w:p w:rsidR="003B2E49" w:rsidRDefault="003B2E49">
            <w:pPr>
              <w:widowControl/>
              <w:jc w:val="left"/>
              <w:rPr>
                <w:rFonts w:ascii="Times New Roman" w:eastAsia="仿宋_GB2312" w:hAnsi="Times New Roman" w:cs="Times New Roman"/>
                <w:kern w:val="0"/>
                <w:szCs w:val="21"/>
              </w:rPr>
            </w:pPr>
          </w:p>
        </w:tc>
        <w:tc>
          <w:tcPr>
            <w:tcW w:w="1220" w:type="dxa"/>
            <w:vMerge/>
            <w:tcBorders>
              <w:top w:val="nil"/>
              <w:left w:val="single" w:sz="4" w:space="0" w:color="auto"/>
              <w:bottom w:val="single" w:sz="4" w:space="0" w:color="000000"/>
              <w:right w:val="single" w:sz="4" w:space="0" w:color="auto"/>
            </w:tcBorders>
            <w:vAlign w:val="center"/>
          </w:tcPr>
          <w:p w:rsidR="003B2E49" w:rsidRDefault="003B2E49">
            <w:pPr>
              <w:widowControl/>
              <w:jc w:val="left"/>
              <w:rPr>
                <w:rFonts w:ascii="Times New Roman" w:eastAsia="仿宋_GB2312" w:hAnsi="Times New Roman" w:cs="Times New Roman"/>
                <w:kern w:val="0"/>
                <w:szCs w:val="21"/>
              </w:rPr>
            </w:pP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小计</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公务用车</w:t>
            </w:r>
          </w:p>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购置费</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公务用车</w:t>
            </w:r>
          </w:p>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运行费</w:t>
            </w:r>
          </w:p>
        </w:tc>
        <w:tc>
          <w:tcPr>
            <w:tcW w:w="1220" w:type="dxa"/>
            <w:vMerge/>
            <w:tcBorders>
              <w:top w:val="nil"/>
              <w:left w:val="single" w:sz="4" w:space="0" w:color="auto"/>
              <w:bottom w:val="single" w:sz="4" w:space="0" w:color="000000"/>
              <w:right w:val="single" w:sz="8" w:space="0" w:color="auto"/>
            </w:tcBorders>
            <w:vAlign w:val="center"/>
          </w:tcPr>
          <w:p w:rsidR="003B2E49" w:rsidRDefault="003B2E49">
            <w:pPr>
              <w:widowControl/>
              <w:jc w:val="left"/>
              <w:rPr>
                <w:rFonts w:ascii="Times New Roman" w:eastAsia="仿宋_GB2312" w:hAnsi="Times New Roman" w:cs="Times New Roman"/>
                <w:kern w:val="0"/>
                <w:szCs w:val="21"/>
              </w:rPr>
            </w:pPr>
          </w:p>
        </w:tc>
      </w:tr>
      <w:tr w:rsidR="003B2E49">
        <w:trPr>
          <w:trHeight w:val="397"/>
          <w:jc w:val="center"/>
        </w:trPr>
        <w:tc>
          <w:tcPr>
            <w:tcW w:w="1220" w:type="dxa"/>
            <w:tcBorders>
              <w:top w:val="nil"/>
              <w:left w:val="single" w:sz="8" w:space="0" w:color="auto"/>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2</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3</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4</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5</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6</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7</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8</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9</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10</w:t>
            </w:r>
          </w:p>
        </w:tc>
        <w:tc>
          <w:tcPr>
            <w:tcW w:w="1220"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11</w:t>
            </w:r>
          </w:p>
        </w:tc>
        <w:tc>
          <w:tcPr>
            <w:tcW w:w="1220" w:type="dxa"/>
            <w:tcBorders>
              <w:top w:val="nil"/>
              <w:left w:val="nil"/>
              <w:bottom w:val="single" w:sz="4" w:space="0" w:color="auto"/>
              <w:right w:val="single" w:sz="8" w:space="0" w:color="auto"/>
            </w:tcBorders>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12</w:t>
            </w:r>
          </w:p>
        </w:tc>
      </w:tr>
      <w:tr w:rsidR="003B2E49">
        <w:trPr>
          <w:trHeight w:val="397"/>
          <w:jc w:val="center"/>
        </w:trPr>
        <w:tc>
          <w:tcPr>
            <w:tcW w:w="1220" w:type="dxa"/>
            <w:tcBorders>
              <w:top w:val="nil"/>
              <w:left w:val="single" w:sz="8" w:space="0" w:color="auto"/>
              <w:bottom w:val="single" w:sz="8" w:space="0" w:color="auto"/>
              <w:right w:val="single" w:sz="4" w:space="0" w:color="auto"/>
            </w:tcBorders>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0.00</w:t>
            </w:r>
          </w:p>
        </w:tc>
        <w:tc>
          <w:tcPr>
            <w:tcW w:w="1220" w:type="dxa"/>
            <w:tcBorders>
              <w:top w:val="nil"/>
              <w:left w:val="nil"/>
              <w:bottom w:val="single" w:sz="8" w:space="0" w:color="auto"/>
              <w:right w:val="single" w:sz="4" w:space="0" w:color="auto"/>
            </w:tcBorders>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p>
        </w:tc>
        <w:tc>
          <w:tcPr>
            <w:tcW w:w="1220" w:type="dxa"/>
            <w:tcBorders>
              <w:top w:val="nil"/>
              <w:left w:val="nil"/>
              <w:bottom w:val="single" w:sz="8" w:space="0" w:color="auto"/>
              <w:right w:val="single" w:sz="4" w:space="0" w:color="auto"/>
            </w:tcBorders>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p>
        </w:tc>
        <w:tc>
          <w:tcPr>
            <w:tcW w:w="1220" w:type="dxa"/>
            <w:tcBorders>
              <w:top w:val="nil"/>
              <w:left w:val="nil"/>
              <w:bottom w:val="single" w:sz="8" w:space="0" w:color="auto"/>
              <w:right w:val="single" w:sz="4" w:space="0" w:color="auto"/>
            </w:tcBorders>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p>
        </w:tc>
        <w:tc>
          <w:tcPr>
            <w:tcW w:w="1220" w:type="dxa"/>
            <w:tcBorders>
              <w:top w:val="nil"/>
              <w:left w:val="nil"/>
              <w:bottom w:val="single" w:sz="8" w:space="0" w:color="auto"/>
              <w:right w:val="single" w:sz="4" w:space="0" w:color="auto"/>
            </w:tcBorders>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p>
        </w:tc>
        <w:tc>
          <w:tcPr>
            <w:tcW w:w="1220" w:type="dxa"/>
            <w:tcBorders>
              <w:top w:val="nil"/>
              <w:left w:val="nil"/>
              <w:bottom w:val="single" w:sz="8" w:space="0" w:color="auto"/>
              <w:right w:val="single" w:sz="4" w:space="0" w:color="auto"/>
            </w:tcBorders>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p>
        </w:tc>
        <w:tc>
          <w:tcPr>
            <w:tcW w:w="1220" w:type="dxa"/>
            <w:tcBorders>
              <w:top w:val="nil"/>
              <w:left w:val="nil"/>
              <w:bottom w:val="single" w:sz="8" w:space="0" w:color="auto"/>
              <w:right w:val="single" w:sz="4" w:space="0" w:color="auto"/>
            </w:tcBorders>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p>
        </w:tc>
        <w:tc>
          <w:tcPr>
            <w:tcW w:w="1220" w:type="dxa"/>
            <w:tcBorders>
              <w:top w:val="nil"/>
              <w:left w:val="nil"/>
              <w:bottom w:val="single" w:sz="8" w:space="0" w:color="auto"/>
              <w:right w:val="single" w:sz="4" w:space="0" w:color="auto"/>
            </w:tcBorders>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p>
        </w:tc>
        <w:tc>
          <w:tcPr>
            <w:tcW w:w="1220" w:type="dxa"/>
            <w:tcBorders>
              <w:top w:val="nil"/>
              <w:left w:val="nil"/>
              <w:bottom w:val="single" w:sz="8" w:space="0" w:color="auto"/>
              <w:right w:val="single" w:sz="4" w:space="0" w:color="auto"/>
            </w:tcBorders>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p>
        </w:tc>
        <w:tc>
          <w:tcPr>
            <w:tcW w:w="1220" w:type="dxa"/>
            <w:tcBorders>
              <w:top w:val="nil"/>
              <w:left w:val="nil"/>
              <w:bottom w:val="single" w:sz="8" w:space="0" w:color="auto"/>
              <w:right w:val="single" w:sz="4" w:space="0" w:color="auto"/>
            </w:tcBorders>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p>
        </w:tc>
        <w:tc>
          <w:tcPr>
            <w:tcW w:w="1220" w:type="dxa"/>
            <w:tcBorders>
              <w:top w:val="nil"/>
              <w:left w:val="nil"/>
              <w:bottom w:val="single" w:sz="8" w:space="0" w:color="auto"/>
              <w:right w:val="nil"/>
            </w:tcBorders>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p>
        </w:tc>
        <w:tc>
          <w:tcPr>
            <w:tcW w:w="1220" w:type="dxa"/>
            <w:tcBorders>
              <w:top w:val="nil"/>
              <w:left w:val="single" w:sz="4" w:space="0" w:color="auto"/>
              <w:bottom w:val="single" w:sz="8" w:space="0" w:color="auto"/>
              <w:right w:val="single" w:sz="8" w:space="0" w:color="auto"/>
            </w:tcBorders>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p>
        </w:tc>
      </w:tr>
    </w:tbl>
    <w:p w:rsidR="003B2E49" w:rsidRDefault="00A5413E">
      <w:pPr>
        <w:widowControl/>
        <w:jc w:val="left"/>
        <w:rPr>
          <w:rFonts w:ascii="宋体" w:eastAsia="宋体" w:cs="宋体"/>
          <w:kern w:val="0"/>
          <w:sz w:val="24"/>
          <w:szCs w:val="24"/>
        </w:rPr>
      </w:pPr>
      <w:r>
        <w:rPr>
          <w:rFonts w:ascii="宋体" w:eastAsia="宋体" w:cs="宋体" w:hint="eastAsia"/>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rsidR="003B2E49" w:rsidRDefault="003B2E49">
      <w:pPr>
        <w:autoSpaceDE w:val="0"/>
        <w:autoSpaceDN w:val="0"/>
        <w:adjustRightInd w:val="0"/>
        <w:ind w:leftChars="150" w:left="315"/>
        <w:jc w:val="left"/>
        <w:rPr>
          <w:rFonts w:ascii="宋体" w:eastAsia="宋体" w:cs="宋体"/>
          <w:kern w:val="0"/>
          <w:sz w:val="24"/>
          <w:szCs w:val="24"/>
        </w:rPr>
      </w:pPr>
    </w:p>
    <w:p w:rsidR="003B2E49" w:rsidRDefault="00A5413E">
      <w:pPr>
        <w:widowControl/>
        <w:jc w:val="center"/>
        <w:rPr>
          <w:rFonts w:ascii="Times New Roman" w:eastAsia="方正小标宋_GBK" w:hAnsi="Times New Roman" w:cs="Times New Roman"/>
          <w:kern w:val="0"/>
          <w:sz w:val="36"/>
          <w:szCs w:val="36"/>
        </w:rPr>
      </w:pPr>
      <w:r>
        <w:rPr>
          <w:rFonts w:ascii="Times New Roman" w:eastAsia="方正小标宋_GBK" w:hAnsi="Times New Roman" w:cs="Times New Roman"/>
          <w:kern w:val="0"/>
          <w:sz w:val="36"/>
          <w:szCs w:val="36"/>
        </w:rPr>
        <w:t>政府性基金预算财政拨款收入支出决算表</w:t>
      </w:r>
    </w:p>
    <w:p w:rsidR="003B2E49" w:rsidRDefault="00A5413E">
      <w:pPr>
        <w:widowControl/>
        <w:wordWrap w:val="0"/>
        <w:jc w:val="righ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部门：</w:t>
      </w:r>
      <w:r>
        <w:rPr>
          <w:rFonts w:ascii="Times New Roman" w:eastAsia="仿宋_GB2312" w:hAnsi="Times New Roman" w:cs="Times New Roman" w:hint="eastAsia"/>
          <w:color w:val="000000"/>
          <w:kern w:val="0"/>
          <w:szCs w:val="21"/>
        </w:rPr>
        <w:t>湖南省中医药研究院</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color w:val="000000"/>
          <w:kern w:val="0"/>
          <w:szCs w:val="21"/>
        </w:rPr>
        <w:t>公开</w:t>
      </w:r>
      <w:r>
        <w:rPr>
          <w:rFonts w:ascii="Times New Roman" w:eastAsia="仿宋_GB2312" w:hAnsi="Times New Roman" w:cs="Times New Roman"/>
          <w:color w:val="000000"/>
          <w:kern w:val="0"/>
          <w:szCs w:val="21"/>
        </w:rPr>
        <w:t>08</w:t>
      </w:r>
      <w:r>
        <w:rPr>
          <w:rFonts w:ascii="Times New Roman" w:eastAsia="仿宋_GB2312" w:hAnsi="Times New Roman" w:cs="Times New Roman"/>
          <w:color w:val="000000"/>
          <w:kern w:val="0"/>
          <w:szCs w:val="21"/>
        </w:rPr>
        <w:t>表</w:t>
      </w:r>
    </w:p>
    <w:p w:rsidR="003B2E49" w:rsidRDefault="00A5413E">
      <w:pPr>
        <w:widowControl/>
        <w:jc w:val="righ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单位：万元</w:t>
      </w:r>
    </w:p>
    <w:tbl>
      <w:tblPr>
        <w:tblW w:w="144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120"/>
        <w:gridCol w:w="1320"/>
        <w:gridCol w:w="2000"/>
        <w:gridCol w:w="2000"/>
        <w:gridCol w:w="2000"/>
        <w:gridCol w:w="2000"/>
        <w:gridCol w:w="2000"/>
        <w:gridCol w:w="2000"/>
      </w:tblGrid>
      <w:tr w:rsidR="003B2E49">
        <w:trPr>
          <w:trHeight w:val="454"/>
          <w:jc w:val="center"/>
        </w:trPr>
        <w:tc>
          <w:tcPr>
            <w:tcW w:w="2440" w:type="dxa"/>
            <w:gridSpan w:val="2"/>
            <w:shd w:val="clear" w:color="auto" w:fill="auto"/>
            <w:vAlign w:val="center"/>
          </w:tcPr>
          <w:p w:rsidR="003B2E49" w:rsidRDefault="00A5413E">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w:t>
            </w:r>
            <w:r>
              <w:rPr>
                <w:rFonts w:ascii="Times New Roman" w:eastAsia="仿宋_GB2312" w:hAnsi="Times New Roman" w:cs="Times New Roman"/>
                <w:b/>
                <w:kern w:val="0"/>
                <w:szCs w:val="21"/>
              </w:rPr>
              <w:t xml:space="preserve"> </w:t>
            </w:r>
            <w:r>
              <w:rPr>
                <w:rFonts w:ascii="Times New Roman" w:eastAsia="仿宋_GB2312" w:hAnsi="Times New Roman" w:cs="Times New Roman"/>
                <w:b/>
                <w:color w:val="000000"/>
                <w:kern w:val="0"/>
                <w:szCs w:val="21"/>
              </w:rPr>
              <w:t xml:space="preserve">   </w:t>
            </w:r>
            <w:r>
              <w:rPr>
                <w:rFonts w:ascii="Times New Roman" w:eastAsia="仿宋_GB2312" w:hAnsi="Times New Roman" w:cs="Times New Roman"/>
                <w:b/>
                <w:kern w:val="0"/>
                <w:szCs w:val="21"/>
              </w:rPr>
              <w:t>目</w:t>
            </w:r>
          </w:p>
        </w:tc>
        <w:tc>
          <w:tcPr>
            <w:tcW w:w="2000" w:type="dxa"/>
            <w:vMerge w:val="restart"/>
            <w:shd w:val="clear" w:color="auto" w:fill="auto"/>
            <w:vAlign w:val="center"/>
          </w:tcPr>
          <w:p w:rsidR="003B2E49" w:rsidRDefault="00A5413E">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年初结转和结余</w:t>
            </w:r>
          </w:p>
        </w:tc>
        <w:tc>
          <w:tcPr>
            <w:tcW w:w="2000" w:type="dxa"/>
            <w:vMerge w:val="restart"/>
            <w:shd w:val="clear" w:color="auto" w:fill="auto"/>
            <w:vAlign w:val="center"/>
          </w:tcPr>
          <w:p w:rsidR="003B2E49" w:rsidRDefault="00A5413E">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本年收入</w:t>
            </w:r>
          </w:p>
        </w:tc>
        <w:tc>
          <w:tcPr>
            <w:tcW w:w="6000" w:type="dxa"/>
            <w:gridSpan w:val="3"/>
            <w:shd w:val="clear" w:color="auto" w:fill="auto"/>
            <w:vAlign w:val="center"/>
          </w:tcPr>
          <w:p w:rsidR="003B2E49" w:rsidRDefault="00A5413E">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本年支出</w:t>
            </w:r>
          </w:p>
        </w:tc>
        <w:tc>
          <w:tcPr>
            <w:tcW w:w="2000" w:type="dxa"/>
            <w:vMerge w:val="restart"/>
            <w:shd w:val="clear" w:color="auto" w:fill="auto"/>
            <w:vAlign w:val="center"/>
          </w:tcPr>
          <w:p w:rsidR="003B2E49" w:rsidRDefault="00A5413E">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年末结转和结余</w:t>
            </w:r>
          </w:p>
        </w:tc>
      </w:tr>
      <w:tr w:rsidR="003B2E49">
        <w:trPr>
          <w:trHeight w:val="454"/>
          <w:jc w:val="center"/>
        </w:trPr>
        <w:tc>
          <w:tcPr>
            <w:tcW w:w="1120" w:type="dxa"/>
            <w:vMerge w:val="restart"/>
            <w:shd w:val="clear" w:color="auto" w:fill="auto"/>
            <w:vAlign w:val="center"/>
          </w:tcPr>
          <w:p w:rsidR="003B2E49" w:rsidRDefault="00A5413E">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功能分类科目编码</w:t>
            </w:r>
          </w:p>
        </w:tc>
        <w:tc>
          <w:tcPr>
            <w:tcW w:w="1320" w:type="dxa"/>
            <w:vMerge w:val="restart"/>
            <w:shd w:val="clear" w:color="auto" w:fill="auto"/>
            <w:vAlign w:val="center"/>
          </w:tcPr>
          <w:p w:rsidR="003B2E49" w:rsidRDefault="00A5413E">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科目名称</w:t>
            </w:r>
          </w:p>
        </w:tc>
        <w:tc>
          <w:tcPr>
            <w:tcW w:w="2000" w:type="dxa"/>
            <w:vMerge/>
            <w:vAlign w:val="center"/>
          </w:tcPr>
          <w:p w:rsidR="003B2E49" w:rsidRDefault="003B2E49">
            <w:pPr>
              <w:widowControl/>
              <w:jc w:val="left"/>
              <w:rPr>
                <w:rFonts w:ascii="Times New Roman" w:eastAsia="仿宋_GB2312" w:hAnsi="Times New Roman" w:cs="Times New Roman"/>
                <w:b/>
                <w:kern w:val="0"/>
                <w:szCs w:val="21"/>
              </w:rPr>
            </w:pPr>
          </w:p>
        </w:tc>
        <w:tc>
          <w:tcPr>
            <w:tcW w:w="2000" w:type="dxa"/>
            <w:vMerge/>
            <w:vAlign w:val="center"/>
          </w:tcPr>
          <w:p w:rsidR="003B2E49" w:rsidRDefault="003B2E49">
            <w:pPr>
              <w:widowControl/>
              <w:jc w:val="left"/>
              <w:rPr>
                <w:rFonts w:ascii="Times New Roman" w:eastAsia="仿宋_GB2312" w:hAnsi="Times New Roman" w:cs="Times New Roman"/>
                <w:b/>
                <w:kern w:val="0"/>
                <w:szCs w:val="21"/>
              </w:rPr>
            </w:pPr>
          </w:p>
        </w:tc>
        <w:tc>
          <w:tcPr>
            <w:tcW w:w="2000" w:type="dxa"/>
            <w:vMerge w:val="restart"/>
            <w:shd w:val="clear" w:color="auto" w:fill="auto"/>
            <w:vAlign w:val="center"/>
          </w:tcPr>
          <w:p w:rsidR="003B2E49" w:rsidRDefault="00A5413E">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小计</w:t>
            </w:r>
          </w:p>
        </w:tc>
        <w:tc>
          <w:tcPr>
            <w:tcW w:w="2000" w:type="dxa"/>
            <w:vMerge w:val="restart"/>
            <w:shd w:val="clear" w:color="auto" w:fill="auto"/>
            <w:vAlign w:val="center"/>
          </w:tcPr>
          <w:p w:rsidR="003B2E49" w:rsidRDefault="00A5413E">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基本支出</w:t>
            </w:r>
            <w:r>
              <w:rPr>
                <w:rFonts w:ascii="Times New Roman" w:eastAsia="仿宋_GB2312" w:hAnsi="Times New Roman" w:cs="Times New Roman"/>
                <w:b/>
                <w:kern w:val="0"/>
                <w:szCs w:val="21"/>
              </w:rPr>
              <w:t xml:space="preserve">  </w:t>
            </w:r>
          </w:p>
        </w:tc>
        <w:tc>
          <w:tcPr>
            <w:tcW w:w="2000" w:type="dxa"/>
            <w:vMerge w:val="restart"/>
            <w:shd w:val="clear" w:color="auto" w:fill="auto"/>
            <w:vAlign w:val="center"/>
          </w:tcPr>
          <w:p w:rsidR="003B2E49" w:rsidRDefault="00A5413E">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项目支出</w:t>
            </w:r>
          </w:p>
        </w:tc>
        <w:tc>
          <w:tcPr>
            <w:tcW w:w="2000" w:type="dxa"/>
            <w:vMerge/>
            <w:vAlign w:val="center"/>
          </w:tcPr>
          <w:p w:rsidR="003B2E49" w:rsidRDefault="003B2E49">
            <w:pPr>
              <w:widowControl/>
              <w:jc w:val="left"/>
              <w:rPr>
                <w:rFonts w:ascii="Times New Roman" w:eastAsia="仿宋_GB2312" w:hAnsi="Times New Roman" w:cs="Times New Roman"/>
                <w:b/>
                <w:kern w:val="0"/>
                <w:szCs w:val="21"/>
              </w:rPr>
            </w:pPr>
          </w:p>
        </w:tc>
      </w:tr>
      <w:tr w:rsidR="003B2E49">
        <w:trPr>
          <w:trHeight w:val="454"/>
          <w:jc w:val="center"/>
        </w:trPr>
        <w:tc>
          <w:tcPr>
            <w:tcW w:w="1120" w:type="dxa"/>
            <w:vMerge/>
            <w:vAlign w:val="center"/>
          </w:tcPr>
          <w:p w:rsidR="003B2E49" w:rsidRDefault="003B2E49">
            <w:pPr>
              <w:widowControl/>
              <w:jc w:val="left"/>
              <w:rPr>
                <w:rFonts w:ascii="Times New Roman" w:eastAsia="仿宋_GB2312" w:hAnsi="Times New Roman" w:cs="Times New Roman"/>
                <w:kern w:val="0"/>
                <w:szCs w:val="21"/>
              </w:rPr>
            </w:pPr>
          </w:p>
        </w:tc>
        <w:tc>
          <w:tcPr>
            <w:tcW w:w="1320" w:type="dxa"/>
            <w:vMerge/>
            <w:vAlign w:val="center"/>
          </w:tcPr>
          <w:p w:rsidR="003B2E49" w:rsidRDefault="003B2E49">
            <w:pPr>
              <w:widowControl/>
              <w:jc w:val="left"/>
              <w:rPr>
                <w:rFonts w:ascii="Times New Roman" w:eastAsia="仿宋_GB2312" w:hAnsi="Times New Roman" w:cs="Times New Roman"/>
                <w:kern w:val="0"/>
                <w:szCs w:val="21"/>
              </w:rPr>
            </w:pPr>
          </w:p>
        </w:tc>
        <w:tc>
          <w:tcPr>
            <w:tcW w:w="2000" w:type="dxa"/>
            <w:vMerge/>
            <w:vAlign w:val="center"/>
          </w:tcPr>
          <w:p w:rsidR="003B2E49" w:rsidRDefault="003B2E49">
            <w:pPr>
              <w:widowControl/>
              <w:jc w:val="left"/>
              <w:rPr>
                <w:rFonts w:ascii="Times New Roman" w:eastAsia="仿宋_GB2312" w:hAnsi="Times New Roman" w:cs="Times New Roman"/>
                <w:kern w:val="0"/>
                <w:szCs w:val="21"/>
              </w:rPr>
            </w:pPr>
          </w:p>
        </w:tc>
        <w:tc>
          <w:tcPr>
            <w:tcW w:w="2000" w:type="dxa"/>
            <w:vMerge/>
            <w:vAlign w:val="center"/>
          </w:tcPr>
          <w:p w:rsidR="003B2E49" w:rsidRDefault="003B2E49">
            <w:pPr>
              <w:widowControl/>
              <w:jc w:val="left"/>
              <w:rPr>
                <w:rFonts w:ascii="Times New Roman" w:eastAsia="仿宋_GB2312" w:hAnsi="Times New Roman" w:cs="Times New Roman"/>
                <w:kern w:val="0"/>
                <w:szCs w:val="21"/>
              </w:rPr>
            </w:pPr>
          </w:p>
        </w:tc>
        <w:tc>
          <w:tcPr>
            <w:tcW w:w="2000" w:type="dxa"/>
            <w:vMerge/>
            <w:vAlign w:val="center"/>
          </w:tcPr>
          <w:p w:rsidR="003B2E49" w:rsidRDefault="003B2E49">
            <w:pPr>
              <w:widowControl/>
              <w:jc w:val="left"/>
              <w:rPr>
                <w:rFonts w:ascii="Times New Roman" w:eastAsia="仿宋_GB2312" w:hAnsi="Times New Roman" w:cs="Times New Roman"/>
                <w:kern w:val="0"/>
                <w:szCs w:val="21"/>
              </w:rPr>
            </w:pPr>
          </w:p>
        </w:tc>
        <w:tc>
          <w:tcPr>
            <w:tcW w:w="2000" w:type="dxa"/>
            <w:vMerge/>
            <w:vAlign w:val="center"/>
          </w:tcPr>
          <w:p w:rsidR="003B2E49" w:rsidRDefault="003B2E49">
            <w:pPr>
              <w:widowControl/>
              <w:jc w:val="left"/>
              <w:rPr>
                <w:rFonts w:ascii="Times New Roman" w:eastAsia="仿宋_GB2312" w:hAnsi="Times New Roman" w:cs="Times New Roman"/>
                <w:kern w:val="0"/>
                <w:szCs w:val="21"/>
              </w:rPr>
            </w:pPr>
          </w:p>
        </w:tc>
        <w:tc>
          <w:tcPr>
            <w:tcW w:w="2000" w:type="dxa"/>
            <w:vMerge/>
            <w:vAlign w:val="center"/>
          </w:tcPr>
          <w:p w:rsidR="003B2E49" w:rsidRDefault="003B2E49">
            <w:pPr>
              <w:widowControl/>
              <w:jc w:val="left"/>
              <w:rPr>
                <w:rFonts w:ascii="Times New Roman" w:eastAsia="仿宋_GB2312" w:hAnsi="Times New Roman" w:cs="Times New Roman"/>
                <w:kern w:val="0"/>
                <w:szCs w:val="21"/>
              </w:rPr>
            </w:pPr>
          </w:p>
        </w:tc>
        <w:tc>
          <w:tcPr>
            <w:tcW w:w="2000" w:type="dxa"/>
            <w:vMerge/>
            <w:vAlign w:val="center"/>
          </w:tcPr>
          <w:p w:rsidR="003B2E49" w:rsidRDefault="003B2E49">
            <w:pPr>
              <w:widowControl/>
              <w:jc w:val="left"/>
              <w:rPr>
                <w:rFonts w:ascii="Times New Roman" w:eastAsia="仿宋_GB2312" w:hAnsi="Times New Roman" w:cs="Times New Roman"/>
                <w:kern w:val="0"/>
                <w:szCs w:val="21"/>
              </w:rPr>
            </w:pPr>
          </w:p>
        </w:tc>
      </w:tr>
      <w:tr w:rsidR="003B2E49">
        <w:trPr>
          <w:trHeight w:val="454"/>
          <w:jc w:val="center"/>
        </w:trPr>
        <w:tc>
          <w:tcPr>
            <w:tcW w:w="1120" w:type="dxa"/>
            <w:vMerge/>
            <w:vAlign w:val="center"/>
          </w:tcPr>
          <w:p w:rsidR="003B2E49" w:rsidRDefault="003B2E49">
            <w:pPr>
              <w:widowControl/>
              <w:jc w:val="left"/>
              <w:rPr>
                <w:rFonts w:ascii="Times New Roman" w:eastAsia="仿宋_GB2312" w:hAnsi="Times New Roman" w:cs="Times New Roman"/>
                <w:kern w:val="0"/>
                <w:szCs w:val="21"/>
              </w:rPr>
            </w:pPr>
          </w:p>
        </w:tc>
        <w:tc>
          <w:tcPr>
            <w:tcW w:w="1320" w:type="dxa"/>
            <w:vMerge/>
            <w:vAlign w:val="center"/>
          </w:tcPr>
          <w:p w:rsidR="003B2E49" w:rsidRDefault="003B2E49">
            <w:pPr>
              <w:widowControl/>
              <w:jc w:val="left"/>
              <w:rPr>
                <w:rFonts w:ascii="Times New Roman" w:eastAsia="仿宋_GB2312" w:hAnsi="Times New Roman" w:cs="Times New Roman"/>
                <w:kern w:val="0"/>
                <w:szCs w:val="21"/>
              </w:rPr>
            </w:pPr>
          </w:p>
        </w:tc>
        <w:tc>
          <w:tcPr>
            <w:tcW w:w="2000" w:type="dxa"/>
            <w:vMerge/>
            <w:vAlign w:val="center"/>
          </w:tcPr>
          <w:p w:rsidR="003B2E49" w:rsidRDefault="003B2E49">
            <w:pPr>
              <w:widowControl/>
              <w:jc w:val="left"/>
              <w:rPr>
                <w:rFonts w:ascii="Times New Roman" w:eastAsia="仿宋_GB2312" w:hAnsi="Times New Roman" w:cs="Times New Roman"/>
                <w:kern w:val="0"/>
                <w:szCs w:val="21"/>
              </w:rPr>
            </w:pPr>
          </w:p>
        </w:tc>
        <w:tc>
          <w:tcPr>
            <w:tcW w:w="2000" w:type="dxa"/>
            <w:vMerge/>
            <w:vAlign w:val="center"/>
          </w:tcPr>
          <w:p w:rsidR="003B2E49" w:rsidRDefault="003B2E49">
            <w:pPr>
              <w:widowControl/>
              <w:jc w:val="left"/>
              <w:rPr>
                <w:rFonts w:ascii="Times New Roman" w:eastAsia="仿宋_GB2312" w:hAnsi="Times New Roman" w:cs="Times New Roman"/>
                <w:kern w:val="0"/>
                <w:szCs w:val="21"/>
              </w:rPr>
            </w:pPr>
          </w:p>
        </w:tc>
        <w:tc>
          <w:tcPr>
            <w:tcW w:w="2000" w:type="dxa"/>
            <w:vMerge/>
            <w:vAlign w:val="center"/>
          </w:tcPr>
          <w:p w:rsidR="003B2E49" w:rsidRDefault="003B2E49">
            <w:pPr>
              <w:widowControl/>
              <w:jc w:val="left"/>
              <w:rPr>
                <w:rFonts w:ascii="Times New Roman" w:eastAsia="仿宋_GB2312" w:hAnsi="Times New Roman" w:cs="Times New Roman"/>
                <w:kern w:val="0"/>
                <w:szCs w:val="21"/>
              </w:rPr>
            </w:pPr>
          </w:p>
        </w:tc>
        <w:tc>
          <w:tcPr>
            <w:tcW w:w="2000" w:type="dxa"/>
            <w:vMerge/>
            <w:vAlign w:val="center"/>
          </w:tcPr>
          <w:p w:rsidR="003B2E49" w:rsidRDefault="003B2E49">
            <w:pPr>
              <w:widowControl/>
              <w:jc w:val="left"/>
              <w:rPr>
                <w:rFonts w:ascii="Times New Roman" w:eastAsia="仿宋_GB2312" w:hAnsi="Times New Roman" w:cs="Times New Roman"/>
                <w:kern w:val="0"/>
                <w:szCs w:val="21"/>
              </w:rPr>
            </w:pPr>
          </w:p>
        </w:tc>
        <w:tc>
          <w:tcPr>
            <w:tcW w:w="2000" w:type="dxa"/>
            <w:vMerge/>
            <w:vAlign w:val="center"/>
          </w:tcPr>
          <w:p w:rsidR="003B2E49" w:rsidRDefault="003B2E49">
            <w:pPr>
              <w:widowControl/>
              <w:jc w:val="left"/>
              <w:rPr>
                <w:rFonts w:ascii="Times New Roman" w:eastAsia="仿宋_GB2312" w:hAnsi="Times New Roman" w:cs="Times New Roman"/>
                <w:kern w:val="0"/>
                <w:szCs w:val="21"/>
              </w:rPr>
            </w:pPr>
          </w:p>
        </w:tc>
        <w:tc>
          <w:tcPr>
            <w:tcW w:w="2000" w:type="dxa"/>
            <w:vMerge/>
            <w:vAlign w:val="center"/>
          </w:tcPr>
          <w:p w:rsidR="003B2E49" w:rsidRDefault="003B2E49">
            <w:pPr>
              <w:widowControl/>
              <w:jc w:val="left"/>
              <w:rPr>
                <w:rFonts w:ascii="Times New Roman" w:eastAsia="仿宋_GB2312" w:hAnsi="Times New Roman" w:cs="Times New Roman"/>
                <w:kern w:val="0"/>
                <w:szCs w:val="21"/>
              </w:rPr>
            </w:pPr>
          </w:p>
        </w:tc>
      </w:tr>
      <w:tr w:rsidR="003B2E49">
        <w:trPr>
          <w:trHeight w:val="454"/>
          <w:jc w:val="center"/>
        </w:trPr>
        <w:tc>
          <w:tcPr>
            <w:tcW w:w="2440" w:type="dxa"/>
            <w:gridSpan w:val="2"/>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栏次</w:t>
            </w:r>
          </w:p>
        </w:tc>
        <w:tc>
          <w:tcPr>
            <w:tcW w:w="200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w:t>
            </w:r>
          </w:p>
        </w:tc>
        <w:tc>
          <w:tcPr>
            <w:tcW w:w="200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2</w:t>
            </w:r>
          </w:p>
        </w:tc>
        <w:tc>
          <w:tcPr>
            <w:tcW w:w="200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3</w:t>
            </w:r>
          </w:p>
        </w:tc>
        <w:tc>
          <w:tcPr>
            <w:tcW w:w="200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4</w:t>
            </w:r>
          </w:p>
        </w:tc>
        <w:tc>
          <w:tcPr>
            <w:tcW w:w="200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5</w:t>
            </w:r>
          </w:p>
        </w:tc>
        <w:tc>
          <w:tcPr>
            <w:tcW w:w="200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6</w:t>
            </w:r>
          </w:p>
        </w:tc>
      </w:tr>
      <w:tr w:rsidR="003B2E49">
        <w:trPr>
          <w:trHeight w:val="454"/>
          <w:jc w:val="center"/>
        </w:trPr>
        <w:tc>
          <w:tcPr>
            <w:tcW w:w="2440" w:type="dxa"/>
            <w:gridSpan w:val="2"/>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合计</w:t>
            </w:r>
          </w:p>
        </w:tc>
        <w:tc>
          <w:tcPr>
            <w:tcW w:w="200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3B2E49">
        <w:trPr>
          <w:trHeight w:val="454"/>
          <w:jc w:val="center"/>
        </w:trPr>
        <w:tc>
          <w:tcPr>
            <w:tcW w:w="112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sidR="00617DED">
              <w:rPr>
                <w:rFonts w:ascii="Times New Roman" w:eastAsia="仿宋_GB2312" w:hAnsi="Times New Roman" w:cs="Times New Roman" w:hint="eastAsia"/>
                <w:kern w:val="0"/>
                <w:szCs w:val="21"/>
              </w:rPr>
              <w:t>0</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3B2E49">
        <w:trPr>
          <w:trHeight w:val="454"/>
          <w:jc w:val="center"/>
        </w:trPr>
        <w:tc>
          <w:tcPr>
            <w:tcW w:w="112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3B2E49">
        <w:trPr>
          <w:trHeight w:val="454"/>
          <w:jc w:val="center"/>
        </w:trPr>
        <w:tc>
          <w:tcPr>
            <w:tcW w:w="112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3B2E49">
        <w:trPr>
          <w:trHeight w:val="454"/>
          <w:jc w:val="center"/>
        </w:trPr>
        <w:tc>
          <w:tcPr>
            <w:tcW w:w="112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3B2E49">
        <w:trPr>
          <w:trHeight w:val="454"/>
          <w:jc w:val="center"/>
        </w:trPr>
        <w:tc>
          <w:tcPr>
            <w:tcW w:w="112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3B2E49">
        <w:trPr>
          <w:trHeight w:val="454"/>
          <w:jc w:val="center"/>
        </w:trPr>
        <w:tc>
          <w:tcPr>
            <w:tcW w:w="1120" w:type="dxa"/>
            <w:shd w:val="clear" w:color="auto" w:fill="auto"/>
            <w:vAlign w:val="center"/>
          </w:tcPr>
          <w:p w:rsidR="003B2E49" w:rsidRDefault="00A5413E">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bl>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注：本表反映部门本年度政府性基金预算财政拨款收入、支出及结转和结余情况</w:t>
      </w:r>
    </w:p>
    <w:p w:rsidR="003B2E49" w:rsidRDefault="00A5413E">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w:t>
      </w:r>
      <w:r>
        <w:rPr>
          <w:rFonts w:ascii="Times New Roman" w:eastAsia="仿宋_GB2312" w:hAnsi="Times New Roman" w:cs="Times New Roman"/>
          <w:kern w:val="0"/>
          <w:szCs w:val="21"/>
        </w:rPr>
        <w:t>若本单位无政府性基金收支</w:t>
      </w:r>
      <w:r>
        <w:rPr>
          <w:rFonts w:ascii="Times New Roman" w:eastAsia="仿宋_GB2312" w:hAnsi="Times New Roman" w:cs="Times New Roman" w:hint="eastAsia"/>
          <w:kern w:val="0"/>
          <w:szCs w:val="21"/>
        </w:rPr>
        <w:t>,</w:t>
      </w:r>
      <w:r>
        <w:rPr>
          <w:rFonts w:ascii="Times New Roman" w:eastAsia="仿宋_GB2312" w:hAnsi="Times New Roman" w:cs="Times New Roman" w:hint="eastAsia"/>
          <w:kern w:val="0"/>
          <w:szCs w:val="21"/>
        </w:rPr>
        <w:t>请说明：</w:t>
      </w:r>
      <w:r>
        <w:rPr>
          <w:rFonts w:ascii="Times New Roman" w:eastAsia="仿宋_GB2312" w:hAnsi="Times New Roman" w:cs="Times New Roman" w:hint="eastAsia"/>
          <w:kern w:val="0"/>
          <w:szCs w:val="21"/>
        </w:rPr>
        <w:t>XX</w:t>
      </w:r>
      <w:r>
        <w:rPr>
          <w:rFonts w:ascii="Times New Roman" w:eastAsia="仿宋_GB2312" w:hAnsi="Times New Roman" w:cs="Times New Roman" w:hint="eastAsia"/>
          <w:kern w:val="0"/>
          <w:szCs w:val="21"/>
        </w:rPr>
        <w:t>单位没有政府性基金收入，也没有使用政府性基金安排的支出，故本表无数据</w:t>
      </w:r>
      <w:r>
        <w:rPr>
          <w:rFonts w:ascii="Times New Roman" w:eastAsia="仿宋_GB2312" w:hAnsi="Times New Roman" w:cs="Times New Roman"/>
          <w:kern w:val="0"/>
          <w:szCs w:val="21"/>
        </w:rPr>
        <w:t>)</w:t>
      </w:r>
      <w:r>
        <w:rPr>
          <w:rFonts w:ascii="Times New Roman" w:eastAsia="仿宋_GB2312" w:hAnsi="Times New Roman" w:cs="Times New Roman"/>
          <w:kern w:val="0"/>
          <w:szCs w:val="21"/>
        </w:rPr>
        <w:t>。</w:t>
      </w:r>
    </w:p>
    <w:p w:rsidR="003B2E49" w:rsidRDefault="00A5413E">
      <w:pPr>
        <w:widowControl/>
        <w:jc w:val="left"/>
        <w:rPr>
          <w:rFonts w:ascii="黑体" w:eastAsia="黑体" w:hAnsi="黑体"/>
          <w:szCs w:val="21"/>
        </w:rPr>
      </w:pPr>
      <w:r>
        <w:rPr>
          <w:rFonts w:ascii="黑体" w:eastAsia="黑体" w:hAnsi="黑体"/>
          <w:szCs w:val="21"/>
        </w:rPr>
        <w:br w:type="page"/>
      </w:r>
    </w:p>
    <w:tbl>
      <w:tblPr>
        <w:tblW w:w="14190" w:type="dxa"/>
        <w:tblInd w:w="93" w:type="dxa"/>
        <w:tblLook w:val="04A0"/>
      </w:tblPr>
      <w:tblGrid>
        <w:gridCol w:w="1060"/>
        <w:gridCol w:w="324"/>
        <w:gridCol w:w="236"/>
        <w:gridCol w:w="1089"/>
        <w:gridCol w:w="2126"/>
        <w:gridCol w:w="1225"/>
        <w:gridCol w:w="1326"/>
        <w:gridCol w:w="1294"/>
        <w:gridCol w:w="1683"/>
        <w:gridCol w:w="3827"/>
      </w:tblGrid>
      <w:tr w:rsidR="003B2E49">
        <w:trPr>
          <w:trHeight w:val="720"/>
        </w:trPr>
        <w:tc>
          <w:tcPr>
            <w:tcW w:w="14190" w:type="dxa"/>
            <w:gridSpan w:val="10"/>
            <w:tcBorders>
              <w:top w:val="nil"/>
              <w:left w:val="nil"/>
              <w:bottom w:val="nil"/>
              <w:right w:val="nil"/>
            </w:tcBorders>
            <w:shd w:val="clear" w:color="000000" w:fill="FFFFFF"/>
            <w:vAlign w:val="center"/>
          </w:tcPr>
          <w:p w:rsidR="003B2E49" w:rsidRDefault="00A5413E">
            <w:pPr>
              <w:widowControl/>
              <w:jc w:val="center"/>
              <w:rPr>
                <w:rFonts w:ascii="华文中宋" w:eastAsia="华文中宋" w:hAnsi="华文中宋" w:cs="宋体"/>
                <w:kern w:val="0"/>
                <w:sz w:val="32"/>
                <w:szCs w:val="32"/>
              </w:rPr>
            </w:pPr>
            <w:r>
              <w:rPr>
                <w:rFonts w:ascii="华文中宋" w:eastAsia="华文中宋" w:hAnsi="华文中宋" w:cs="宋体" w:hint="eastAsia"/>
                <w:kern w:val="0"/>
                <w:sz w:val="32"/>
                <w:szCs w:val="32"/>
              </w:rPr>
              <w:lastRenderedPageBreak/>
              <w:t>国有资本经营预算财政拨款支出决算表</w:t>
            </w:r>
          </w:p>
        </w:tc>
      </w:tr>
      <w:tr w:rsidR="003B2E49">
        <w:trPr>
          <w:trHeight w:val="285"/>
        </w:trPr>
        <w:tc>
          <w:tcPr>
            <w:tcW w:w="1060" w:type="dxa"/>
            <w:tcBorders>
              <w:top w:val="nil"/>
              <w:left w:val="nil"/>
              <w:bottom w:val="nil"/>
              <w:right w:val="nil"/>
            </w:tcBorders>
            <w:shd w:val="clear" w:color="000000" w:fill="FFFFFF"/>
            <w:vAlign w:val="center"/>
          </w:tcPr>
          <w:p w:rsidR="003B2E49" w:rsidRDefault="00A5413E">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60" w:type="dxa"/>
            <w:gridSpan w:val="2"/>
            <w:tcBorders>
              <w:top w:val="nil"/>
              <w:left w:val="nil"/>
              <w:bottom w:val="nil"/>
              <w:right w:val="nil"/>
            </w:tcBorders>
            <w:shd w:val="clear" w:color="000000" w:fill="FFFFFF"/>
            <w:vAlign w:val="center"/>
          </w:tcPr>
          <w:p w:rsidR="003B2E49" w:rsidRDefault="00A5413E">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3215" w:type="dxa"/>
            <w:gridSpan w:val="2"/>
            <w:tcBorders>
              <w:top w:val="nil"/>
              <w:left w:val="nil"/>
              <w:bottom w:val="nil"/>
              <w:right w:val="nil"/>
            </w:tcBorders>
            <w:shd w:val="clear" w:color="000000" w:fill="FFFFFF"/>
            <w:vAlign w:val="center"/>
          </w:tcPr>
          <w:p w:rsidR="003B2E49" w:rsidRDefault="00A5413E">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225" w:type="dxa"/>
            <w:tcBorders>
              <w:top w:val="nil"/>
              <w:left w:val="nil"/>
              <w:bottom w:val="nil"/>
              <w:right w:val="nil"/>
            </w:tcBorders>
            <w:shd w:val="clear" w:color="000000" w:fill="FFFFFF"/>
            <w:vAlign w:val="center"/>
          </w:tcPr>
          <w:p w:rsidR="003B2E49" w:rsidRDefault="00A5413E">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620" w:type="dxa"/>
            <w:gridSpan w:val="2"/>
            <w:tcBorders>
              <w:top w:val="nil"/>
              <w:left w:val="nil"/>
              <w:bottom w:val="nil"/>
              <w:right w:val="nil"/>
            </w:tcBorders>
            <w:shd w:val="clear" w:color="000000" w:fill="FFFFFF"/>
            <w:vAlign w:val="center"/>
          </w:tcPr>
          <w:p w:rsidR="003B2E49" w:rsidRDefault="00A5413E">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510" w:type="dxa"/>
            <w:gridSpan w:val="2"/>
            <w:tcBorders>
              <w:top w:val="nil"/>
              <w:left w:val="nil"/>
              <w:bottom w:val="nil"/>
              <w:right w:val="nil"/>
            </w:tcBorders>
            <w:shd w:val="clear" w:color="000000" w:fill="FFFFFF"/>
            <w:noWrap/>
            <w:vAlign w:val="center"/>
          </w:tcPr>
          <w:p w:rsidR="003B2E49" w:rsidRDefault="00A5413E">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公开09表</w:t>
            </w:r>
          </w:p>
        </w:tc>
      </w:tr>
      <w:tr w:rsidR="003B2E49">
        <w:trPr>
          <w:trHeight w:val="285"/>
        </w:trPr>
        <w:tc>
          <w:tcPr>
            <w:tcW w:w="1384" w:type="dxa"/>
            <w:gridSpan w:val="2"/>
            <w:tcBorders>
              <w:top w:val="nil"/>
              <w:left w:val="nil"/>
              <w:bottom w:val="nil"/>
              <w:right w:val="nil"/>
            </w:tcBorders>
            <w:shd w:val="clear" w:color="000000" w:fill="FFFFFF"/>
            <w:noWrap/>
            <w:vAlign w:val="center"/>
          </w:tcPr>
          <w:p w:rsidR="003B2E49" w:rsidRDefault="00A5413E">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部门：湖南省中医药研究院</w:t>
            </w:r>
          </w:p>
        </w:tc>
        <w:tc>
          <w:tcPr>
            <w:tcW w:w="236" w:type="dxa"/>
            <w:tcBorders>
              <w:top w:val="nil"/>
              <w:left w:val="nil"/>
              <w:bottom w:val="nil"/>
              <w:right w:val="nil"/>
            </w:tcBorders>
            <w:shd w:val="clear" w:color="000000" w:fill="FFFFFF"/>
            <w:vAlign w:val="center"/>
          </w:tcPr>
          <w:p w:rsidR="003B2E49" w:rsidRDefault="00A5413E">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3215" w:type="dxa"/>
            <w:gridSpan w:val="2"/>
            <w:tcBorders>
              <w:top w:val="nil"/>
              <w:left w:val="nil"/>
              <w:bottom w:val="nil"/>
              <w:right w:val="nil"/>
            </w:tcBorders>
            <w:shd w:val="clear" w:color="000000" w:fill="FFFFFF"/>
            <w:vAlign w:val="center"/>
          </w:tcPr>
          <w:p w:rsidR="003B2E49" w:rsidRDefault="00A5413E">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225" w:type="dxa"/>
            <w:tcBorders>
              <w:top w:val="nil"/>
              <w:left w:val="nil"/>
              <w:bottom w:val="single" w:sz="8" w:space="0" w:color="auto"/>
              <w:right w:val="nil"/>
            </w:tcBorders>
            <w:shd w:val="clear" w:color="000000" w:fill="FFFFFF"/>
            <w:vAlign w:val="center"/>
          </w:tcPr>
          <w:p w:rsidR="003B2E49" w:rsidRDefault="00A5413E">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620" w:type="dxa"/>
            <w:gridSpan w:val="2"/>
            <w:tcBorders>
              <w:top w:val="nil"/>
              <w:left w:val="nil"/>
              <w:bottom w:val="single" w:sz="8" w:space="0" w:color="auto"/>
              <w:right w:val="nil"/>
            </w:tcBorders>
            <w:shd w:val="clear" w:color="000000" w:fill="FFFFFF"/>
            <w:vAlign w:val="center"/>
          </w:tcPr>
          <w:p w:rsidR="003B2E49" w:rsidRDefault="00A5413E">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510" w:type="dxa"/>
            <w:gridSpan w:val="2"/>
            <w:tcBorders>
              <w:top w:val="nil"/>
              <w:left w:val="nil"/>
              <w:bottom w:val="nil"/>
              <w:right w:val="nil"/>
            </w:tcBorders>
            <w:shd w:val="clear" w:color="000000" w:fill="FFFFFF"/>
            <w:noWrap/>
            <w:vAlign w:val="center"/>
          </w:tcPr>
          <w:p w:rsidR="003B2E49" w:rsidRDefault="00A5413E">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单位：万元</w:t>
            </w:r>
          </w:p>
        </w:tc>
      </w:tr>
      <w:tr w:rsidR="003B2E49">
        <w:trPr>
          <w:trHeight w:val="402"/>
        </w:trPr>
        <w:tc>
          <w:tcPr>
            <w:tcW w:w="4835" w:type="dxa"/>
            <w:gridSpan w:val="5"/>
            <w:tcBorders>
              <w:top w:val="single" w:sz="8" w:space="0" w:color="auto"/>
              <w:left w:val="single" w:sz="8" w:space="0" w:color="auto"/>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项 </w:t>
            </w:r>
            <w:r>
              <w:rPr>
                <w:rFonts w:ascii="宋体" w:eastAsia="宋体" w:hAnsi="宋体" w:cs="宋体" w:hint="eastAsia"/>
                <w:color w:val="000000"/>
                <w:kern w:val="0"/>
                <w:sz w:val="22"/>
              </w:rPr>
              <w:t xml:space="preserve">   </w:t>
            </w:r>
            <w:r>
              <w:rPr>
                <w:rFonts w:ascii="宋体" w:eastAsia="宋体" w:hAnsi="宋体" w:cs="宋体" w:hint="eastAsia"/>
                <w:kern w:val="0"/>
                <w:sz w:val="24"/>
                <w:szCs w:val="24"/>
              </w:rPr>
              <w:t>目</w:t>
            </w:r>
          </w:p>
        </w:tc>
        <w:tc>
          <w:tcPr>
            <w:tcW w:w="9355" w:type="dxa"/>
            <w:gridSpan w:val="5"/>
            <w:tcBorders>
              <w:top w:val="single" w:sz="8" w:space="0" w:color="auto"/>
              <w:left w:val="nil"/>
              <w:bottom w:val="single" w:sz="4" w:space="0" w:color="auto"/>
              <w:right w:val="single" w:sz="4" w:space="0" w:color="000000"/>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本年支出</w:t>
            </w:r>
          </w:p>
        </w:tc>
      </w:tr>
      <w:tr w:rsidR="003B2E49">
        <w:trPr>
          <w:trHeight w:val="402"/>
        </w:trPr>
        <w:tc>
          <w:tcPr>
            <w:tcW w:w="2709" w:type="dxa"/>
            <w:gridSpan w:val="4"/>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功能分类科目编码</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科目名称</w:t>
            </w:r>
          </w:p>
        </w:tc>
        <w:tc>
          <w:tcPr>
            <w:tcW w:w="2551"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2977"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基本支出  </w:t>
            </w:r>
          </w:p>
        </w:tc>
        <w:tc>
          <w:tcPr>
            <w:tcW w:w="3827" w:type="dxa"/>
            <w:vMerge w:val="restart"/>
            <w:tcBorders>
              <w:top w:val="nil"/>
              <w:left w:val="single" w:sz="4" w:space="0" w:color="auto"/>
              <w:bottom w:val="single" w:sz="4" w:space="0" w:color="000000"/>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项目支出</w:t>
            </w:r>
          </w:p>
        </w:tc>
      </w:tr>
      <w:tr w:rsidR="003B2E49">
        <w:trPr>
          <w:trHeight w:val="402"/>
        </w:trPr>
        <w:tc>
          <w:tcPr>
            <w:tcW w:w="2709" w:type="dxa"/>
            <w:gridSpan w:val="4"/>
            <w:vMerge/>
            <w:tcBorders>
              <w:top w:val="single" w:sz="4" w:space="0" w:color="auto"/>
              <w:left w:val="single" w:sz="8" w:space="0" w:color="auto"/>
              <w:bottom w:val="single" w:sz="4" w:space="0" w:color="auto"/>
              <w:right w:val="single" w:sz="4" w:space="0" w:color="auto"/>
            </w:tcBorders>
            <w:vAlign w:val="center"/>
          </w:tcPr>
          <w:p w:rsidR="003B2E49" w:rsidRDefault="003B2E49">
            <w:pPr>
              <w:widowControl/>
              <w:jc w:val="left"/>
              <w:rPr>
                <w:rFonts w:ascii="宋体" w:eastAsia="宋体" w:hAnsi="宋体" w:cs="宋体"/>
                <w:kern w:val="0"/>
                <w:sz w:val="24"/>
                <w:szCs w:val="24"/>
              </w:rPr>
            </w:pPr>
          </w:p>
        </w:tc>
        <w:tc>
          <w:tcPr>
            <w:tcW w:w="2126" w:type="dxa"/>
            <w:vMerge/>
            <w:tcBorders>
              <w:top w:val="nil"/>
              <w:left w:val="single" w:sz="4" w:space="0" w:color="auto"/>
              <w:bottom w:val="single" w:sz="4" w:space="0" w:color="auto"/>
              <w:right w:val="single" w:sz="4" w:space="0" w:color="auto"/>
            </w:tcBorders>
            <w:vAlign w:val="center"/>
          </w:tcPr>
          <w:p w:rsidR="003B2E49" w:rsidRDefault="003B2E49">
            <w:pPr>
              <w:widowControl/>
              <w:jc w:val="left"/>
              <w:rPr>
                <w:rFonts w:ascii="宋体" w:eastAsia="宋体" w:hAnsi="宋体" w:cs="宋体"/>
                <w:kern w:val="0"/>
                <w:sz w:val="24"/>
                <w:szCs w:val="24"/>
              </w:rPr>
            </w:pPr>
          </w:p>
        </w:tc>
        <w:tc>
          <w:tcPr>
            <w:tcW w:w="2551" w:type="dxa"/>
            <w:gridSpan w:val="2"/>
            <w:vMerge/>
            <w:tcBorders>
              <w:top w:val="nil"/>
              <w:left w:val="single" w:sz="4" w:space="0" w:color="auto"/>
              <w:bottom w:val="single" w:sz="4" w:space="0" w:color="000000"/>
              <w:right w:val="single" w:sz="4" w:space="0" w:color="auto"/>
            </w:tcBorders>
            <w:vAlign w:val="center"/>
          </w:tcPr>
          <w:p w:rsidR="003B2E49" w:rsidRDefault="003B2E49">
            <w:pPr>
              <w:widowControl/>
              <w:jc w:val="left"/>
              <w:rPr>
                <w:rFonts w:ascii="宋体" w:eastAsia="宋体" w:hAnsi="宋体" w:cs="宋体"/>
                <w:kern w:val="0"/>
                <w:sz w:val="24"/>
                <w:szCs w:val="24"/>
              </w:rPr>
            </w:pPr>
          </w:p>
        </w:tc>
        <w:tc>
          <w:tcPr>
            <w:tcW w:w="2977" w:type="dxa"/>
            <w:gridSpan w:val="2"/>
            <w:vMerge/>
            <w:tcBorders>
              <w:top w:val="nil"/>
              <w:left w:val="single" w:sz="4" w:space="0" w:color="auto"/>
              <w:bottom w:val="single" w:sz="4" w:space="0" w:color="000000"/>
              <w:right w:val="single" w:sz="4" w:space="0" w:color="auto"/>
            </w:tcBorders>
            <w:vAlign w:val="center"/>
          </w:tcPr>
          <w:p w:rsidR="003B2E49" w:rsidRDefault="003B2E49">
            <w:pPr>
              <w:widowControl/>
              <w:jc w:val="left"/>
              <w:rPr>
                <w:rFonts w:ascii="宋体" w:eastAsia="宋体" w:hAnsi="宋体" w:cs="宋体"/>
                <w:kern w:val="0"/>
                <w:sz w:val="24"/>
                <w:szCs w:val="24"/>
              </w:rPr>
            </w:pPr>
          </w:p>
        </w:tc>
        <w:tc>
          <w:tcPr>
            <w:tcW w:w="3827" w:type="dxa"/>
            <w:vMerge/>
            <w:tcBorders>
              <w:top w:val="nil"/>
              <w:left w:val="single" w:sz="4" w:space="0" w:color="auto"/>
              <w:bottom w:val="single" w:sz="4" w:space="0" w:color="000000"/>
              <w:right w:val="single" w:sz="4" w:space="0" w:color="auto"/>
            </w:tcBorders>
            <w:vAlign w:val="center"/>
          </w:tcPr>
          <w:p w:rsidR="003B2E49" w:rsidRDefault="003B2E49">
            <w:pPr>
              <w:widowControl/>
              <w:jc w:val="left"/>
              <w:rPr>
                <w:rFonts w:ascii="宋体" w:eastAsia="宋体" w:hAnsi="宋体" w:cs="宋体"/>
                <w:kern w:val="0"/>
                <w:sz w:val="24"/>
                <w:szCs w:val="24"/>
              </w:rPr>
            </w:pPr>
          </w:p>
        </w:tc>
      </w:tr>
      <w:tr w:rsidR="003B2E49">
        <w:trPr>
          <w:trHeight w:val="402"/>
        </w:trPr>
        <w:tc>
          <w:tcPr>
            <w:tcW w:w="2709" w:type="dxa"/>
            <w:gridSpan w:val="4"/>
            <w:vMerge/>
            <w:tcBorders>
              <w:top w:val="single" w:sz="4" w:space="0" w:color="auto"/>
              <w:left w:val="single" w:sz="8" w:space="0" w:color="auto"/>
              <w:bottom w:val="single" w:sz="4" w:space="0" w:color="auto"/>
              <w:right w:val="single" w:sz="4" w:space="0" w:color="auto"/>
            </w:tcBorders>
            <w:vAlign w:val="center"/>
          </w:tcPr>
          <w:p w:rsidR="003B2E49" w:rsidRDefault="003B2E49">
            <w:pPr>
              <w:widowControl/>
              <w:jc w:val="left"/>
              <w:rPr>
                <w:rFonts w:ascii="宋体" w:eastAsia="宋体" w:hAnsi="宋体" w:cs="宋体"/>
                <w:kern w:val="0"/>
                <w:sz w:val="24"/>
                <w:szCs w:val="24"/>
              </w:rPr>
            </w:pPr>
          </w:p>
        </w:tc>
        <w:tc>
          <w:tcPr>
            <w:tcW w:w="2126" w:type="dxa"/>
            <w:vMerge/>
            <w:tcBorders>
              <w:top w:val="nil"/>
              <w:left w:val="single" w:sz="4" w:space="0" w:color="auto"/>
              <w:bottom w:val="single" w:sz="4" w:space="0" w:color="auto"/>
              <w:right w:val="single" w:sz="4" w:space="0" w:color="auto"/>
            </w:tcBorders>
            <w:vAlign w:val="center"/>
          </w:tcPr>
          <w:p w:rsidR="003B2E49" w:rsidRDefault="003B2E49">
            <w:pPr>
              <w:widowControl/>
              <w:jc w:val="left"/>
              <w:rPr>
                <w:rFonts w:ascii="宋体" w:eastAsia="宋体" w:hAnsi="宋体" w:cs="宋体"/>
                <w:kern w:val="0"/>
                <w:sz w:val="24"/>
                <w:szCs w:val="24"/>
              </w:rPr>
            </w:pPr>
          </w:p>
        </w:tc>
        <w:tc>
          <w:tcPr>
            <w:tcW w:w="2551" w:type="dxa"/>
            <w:gridSpan w:val="2"/>
            <w:vMerge/>
            <w:tcBorders>
              <w:top w:val="nil"/>
              <w:left w:val="single" w:sz="4" w:space="0" w:color="auto"/>
              <w:bottom w:val="single" w:sz="4" w:space="0" w:color="000000"/>
              <w:right w:val="single" w:sz="4" w:space="0" w:color="auto"/>
            </w:tcBorders>
            <w:vAlign w:val="center"/>
          </w:tcPr>
          <w:p w:rsidR="003B2E49" w:rsidRDefault="003B2E49">
            <w:pPr>
              <w:widowControl/>
              <w:jc w:val="left"/>
              <w:rPr>
                <w:rFonts w:ascii="宋体" w:eastAsia="宋体" w:hAnsi="宋体" w:cs="宋体"/>
                <w:kern w:val="0"/>
                <w:sz w:val="24"/>
                <w:szCs w:val="24"/>
              </w:rPr>
            </w:pPr>
          </w:p>
        </w:tc>
        <w:tc>
          <w:tcPr>
            <w:tcW w:w="2977" w:type="dxa"/>
            <w:gridSpan w:val="2"/>
            <w:vMerge/>
            <w:tcBorders>
              <w:top w:val="nil"/>
              <w:left w:val="single" w:sz="4" w:space="0" w:color="auto"/>
              <w:bottom w:val="single" w:sz="4" w:space="0" w:color="000000"/>
              <w:right w:val="single" w:sz="4" w:space="0" w:color="auto"/>
            </w:tcBorders>
            <w:vAlign w:val="center"/>
          </w:tcPr>
          <w:p w:rsidR="003B2E49" w:rsidRDefault="003B2E49">
            <w:pPr>
              <w:widowControl/>
              <w:jc w:val="left"/>
              <w:rPr>
                <w:rFonts w:ascii="宋体" w:eastAsia="宋体" w:hAnsi="宋体" w:cs="宋体"/>
                <w:kern w:val="0"/>
                <w:sz w:val="24"/>
                <w:szCs w:val="24"/>
              </w:rPr>
            </w:pPr>
          </w:p>
        </w:tc>
        <w:tc>
          <w:tcPr>
            <w:tcW w:w="3827" w:type="dxa"/>
            <w:vMerge/>
            <w:tcBorders>
              <w:top w:val="nil"/>
              <w:left w:val="single" w:sz="4" w:space="0" w:color="auto"/>
              <w:bottom w:val="single" w:sz="4" w:space="0" w:color="000000"/>
              <w:right w:val="single" w:sz="4" w:space="0" w:color="auto"/>
            </w:tcBorders>
            <w:vAlign w:val="center"/>
          </w:tcPr>
          <w:p w:rsidR="003B2E49" w:rsidRDefault="003B2E49">
            <w:pPr>
              <w:widowControl/>
              <w:jc w:val="left"/>
              <w:rPr>
                <w:rFonts w:ascii="宋体" w:eastAsia="宋体" w:hAnsi="宋体" w:cs="宋体"/>
                <w:kern w:val="0"/>
                <w:sz w:val="24"/>
                <w:szCs w:val="24"/>
              </w:rPr>
            </w:pPr>
          </w:p>
        </w:tc>
      </w:tr>
      <w:tr w:rsidR="003B2E49">
        <w:trPr>
          <w:trHeight w:val="402"/>
        </w:trPr>
        <w:tc>
          <w:tcPr>
            <w:tcW w:w="4835" w:type="dxa"/>
            <w:gridSpan w:val="5"/>
            <w:tcBorders>
              <w:top w:val="single" w:sz="4" w:space="0" w:color="auto"/>
              <w:left w:val="single" w:sz="8" w:space="0" w:color="auto"/>
              <w:bottom w:val="single" w:sz="4" w:space="0" w:color="auto"/>
              <w:right w:val="single" w:sz="4" w:space="0" w:color="000000"/>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栏次</w:t>
            </w:r>
          </w:p>
        </w:tc>
        <w:tc>
          <w:tcPr>
            <w:tcW w:w="2551"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2977"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3827"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r>
      <w:tr w:rsidR="003B2E49">
        <w:trPr>
          <w:trHeight w:val="402"/>
        </w:trPr>
        <w:tc>
          <w:tcPr>
            <w:tcW w:w="4835" w:type="dxa"/>
            <w:gridSpan w:val="5"/>
            <w:tcBorders>
              <w:top w:val="nil"/>
              <w:left w:val="single" w:sz="8" w:space="0" w:color="auto"/>
              <w:bottom w:val="single" w:sz="4" w:space="0" w:color="auto"/>
              <w:right w:val="single" w:sz="4" w:space="0" w:color="000000"/>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2551"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B2E49">
        <w:trPr>
          <w:trHeight w:val="402"/>
        </w:trPr>
        <w:tc>
          <w:tcPr>
            <w:tcW w:w="1620" w:type="dxa"/>
            <w:gridSpan w:val="3"/>
            <w:tcBorders>
              <w:top w:val="single" w:sz="4" w:space="0" w:color="auto"/>
              <w:left w:val="single" w:sz="8" w:space="0" w:color="auto"/>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r w:rsidR="00617DED">
              <w:rPr>
                <w:rFonts w:ascii="宋体" w:eastAsia="宋体" w:hAnsi="宋体" w:cs="宋体" w:hint="eastAsia"/>
                <w:kern w:val="0"/>
                <w:sz w:val="20"/>
                <w:szCs w:val="20"/>
              </w:rPr>
              <w:t>0</w:t>
            </w:r>
          </w:p>
        </w:tc>
        <w:tc>
          <w:tcPr>
            <w:tcW w:w="2551"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B2E49">
        <w:trPr>
          <w:trHeight w:val="402"/>
        </w:trPr>
        <w:tc>
          <w:tcPr>
            <w:tcW w:w="1620" w:type="dxa"/>
            <w:gridSpan w:val="3"/>
            <w:tcBorders>
              <w:top w:val="single" w:sz="4" w:space="0" w:color="auto"/>
              <w:left w:val="single" w:sz="8" w:space="0" w:color="auto"/>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B2E49">
        <w:trPr>
          <w:trHeight w:val="402"/>
        </w:trPr>
        <w:tc>
          <w:tcPr>
            <w:tcW w:w="1620" w:type="dxa"/>
            <w:gridSpan w:val="3"/>
            <w:tcBorders>
              <w:top w:val="single" w:sz="4" w:space="0" w:color="auto"/>
              <w:left w:val="single" w:sz="8" w:space="0" w:color="auto"/>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B2E49">
        <w:trPr>
          <w:trHeight w:val="402"/>
        </w:trPr>
        <w:tc>
          <w:tcPr>
            <w:tcW w:w="1620" w:type="dxa"/>
            <w:gridSpan w:val="3"/>
            <w:tcBorders>
              <w:top w:val="single" w:sz="4" w:space="0" w:color="auto"/>
              <w:left w:val="single" w:sz="8" w:space="0" w:color="auto"/>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B2E49">
        <w:trPr>
          <w:trHeight w:val="402"/>
        </w:trPr>
        <w:tc>
          <w:tcPr>
            <w:tcW w:w="1620" w:type="dxa"/>
            <w:gridSpan w:val="3"/>
            <w:tcBorders>
              <w:top w:val="single" w:sz="4" w:space="0" w:color="auto"/>
              <w:left w:val="single" w:sz="8" w:space="0" w:color="auto"/>
              <w:bottom w:val="single" w:sz="4"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B2E49">
        <w:trPr>
          <w:trHeight w:val="402"/>
        </w:trPr>
        <w:tc>
          <w:tcPr>
            <w:tcW w:w="1620" w:type="dxa"/>
            <w:gridSpan w:val="3"/>
            <w:tcBorders>
              <w:top w:val="single" w:sz="4" w:space="0" w:color="auto"/>
              <w:left w:val="single" w:sz="8" w:space="0" w:color="auto"/>
              <w:bottom w:val="single" w:sz="8" w:space="0" w:color="auto"/>
              <w:right w:val="single" w:sz="4" w:space="0" w:color="auto"/>
            </w:tcBorders>
            <w:shd w:val="clear" w:color="auto" w:fill="auto"/>
            <w:vAlign w:val="center"/>
          </w:tcPr>
          <w:p w:rsidR="003B2E49" w:rsidRDefault="00A5413E">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8"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8"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8"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8" w:space="0" w:color="auto"/>
              <w:right w:val="single" w:sz="4" w:space="0" w:color="auto"/>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3B2E49">
        <w:trPr>
          <w:trHeight w:val="720"/>
        </w:trPr>
        <w:tc>
          <w:tcPr>
            <w:tcW w:w="14190" w:type="dxa"/>
            <w:gridSpan w:val="10"/>
            <w:tcBorders>
              <w:top w:val="single" w:sz="8" w:space="0" w:color="auto"/>
              <w:left w:val="nil"/>
              <w:bottom w:val="nil"/>
              <w:right w:val="nil"/>
            </w:tcBorders>
            <w:shd w:val="clear" w:color="auto" w:fill="auto"/>
            <w:vAlign w:val="center"/>
          </w:tcPr>
          <w:p w:rsidR="003B2E49" w:rsidRDefault="00A5413E">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注：本表反映部门本年度国有资本经营预算财政拨款支出情况。</w:t>
            </w:r>
          </w:p>
        </w:tc>
      </w:tr>
    </w:tbl>
    <w:p w:rsidR="003B2E49" w:rsidRDefault="003B2E49">
      <w:pPr>
        <w:pStyle w:val="Default"/>
        <w:rPr>
          <w:sz w:val="72"/>
          <w:szCs w:val="72"/>
        </w:rPr>
        <w:sectPr w:rsidR="003B2E49">
          <w:pgSz w:w="16838" w:h="11906" w:orient="landscape"/>
          <w:pgMar w:top="720" w:right="720" w:bottom="720" w:left="720" w:header="851" w:footer="992" w:gutter="0"/>
          <w:cols w:space="425"/>
          <w:docGrid w:type="lines" w:linePitch="312"/>
        </w:sectPr>
      </w:pPr>
    </w:p>
    <w:p w:rsidR="003B2E49" w:rsidRDefault="003B2E49">
      <w:pPr>
        <w:pStyle w:val="Default"/>
        <w:rPr>
          <w:sz w:val="72"/>
          <w:szCs w:val="72"/>
        </w:rPr>
      </w:pPr>
    </w:p>
    <w:p w:rsidR="003B2E49" w:rsidRDefault="003B2E49">
      <w:pPr>
        <w:pStyle w:val="Default"/>
        <w:rPr>
          <w:sz w:val="72"/>
          <w:szCs w:val="72"/>
        </w:rPr>
      </w:pPr>
    </w:p>
    <w:p w:rsidR="003B2E49" w:rsidRDefault="003B2E49">
      <w:pPr>
        <w:pStyle w:val="Default"/>
        <w:rPr>
          <w:sz w:val="72"/>
          <w:szCs w:val="72"/>
        </w:rPr>
      </w:pPr>
    </w:p>
    <w:p w:rsidR="003B2E49" w:rsidRDefault="003B2E49">
      <w:pPr>
        <w:pStyle w:val="Default"/>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A5413E">
      <w:pPr>
        <w:pStyle w:val="Default"/>
        <w:jc w:val="center"/>
        <w:rPr>
          <w:sz w:val="72"/>
          <w:szCs w:val="72"/>
        </w:rPr>
      </w:pPr>
      <w:r>
        <w:rPr>
          <w:rFonts w:hint="eastAsia"/>
          <w:sz w:val="72"/>
          <w:szCs w:val="72"/>
        </w:rPr>
        <w:t>第三部分</w:t>
      </w:r>
    </w:p>
    <w:p w:rsidR="003B2E49" w:rsidRDefault="003B2E49">
      <w:pPr>
        <w:pStyle w:val="Default"/>
        <w:jc w:val="center"/>
        <w:rPr>
          <w:sz w:val="70"/>
          <w:szCs w:val="70"/>
        </w:rPr>
      </w:pPr>
    </w:p>
    <w:p w:rsidR="003B2E49" w:rsidRDefault="00A5413E">
      <w:pPr>
        <w:pStyle w:val="Default"/>
        <w:jc w:val="center"/>
        <w:rPr>
          <w:sz w:val="70"/>
          <w:szCs w:val="70"/>
        </w:rPr>
      </w:pPr>
      <w:r>
        <w:rPr>
          <w:sz w:val="70"/>
          <w:szCs w:val="70"/>
        </w:rPr>
        <w:t>20</w:t>
      </w:r>
      <w:r>
        <w:rPr>
          <w:rFonts w:hint="eastAsia"/>
          <w:sz w:val="70"/>
          <w:szCs w:val="70"/>
        </w:rPr>
        <w:t>21年度部门决算情况说明</w:t>
      </w:r>
    </w:p>
    <w:p w:rsidR="003B2E49" w:rsidRDefault="00A5413E">
      <w:pPr>
        <w:widowControl/>
        <w:jc w:val="left"/>
        <w:rPr>
          <w:rFonts w:ascii="黑体" w:eastAsia="黑体" w:cs="黑体"/>
          <w:color w:val="000000"/>
          <w:kern w:val="0"/>
          <w:sz w:val="70"/>
          <w:szCs w:val="70"/>
        </w:rPr>
      </w:pPr>
      <w:r>
        <w:rPr>
          <w:sz w:val="70"/>
          <w:szCs w:val="70"/>
        </w:rPr>
        <w:br w:type="page"/>
      </w:r>
    </w:p>
    <w:p w:rsidR="003B2E49" w:rsidRDefault="003B2E49">
      <w:pPr>
        <w:pStyle w:val="Default"/>
        <w:rPr>
          <w:rFonts w:asciiTheme="minorEastAsia" w:eastAsiaTheme="minorEastAsia" w:hAnsiTheme="minorEastAsia"/>
          <w:sz w:val="32"/>
          <w:szCs w:val="32"/>
        </w:rPr>
      </w:pPr>
    </w:p>
    <w:p w:rsidR="003B2E49" w:rsidRDefault="00A5413E" w:rsidP="00EA75C5">
      <w:pPr>
        <w:pStyle w:val="Default"/>
        <w:ind w:firstLineChars="200" w:firstLine="643"/>
        <w:rPr>
          <w:rFonts w:hAnsi="黑体"/>
          <w:b/>
          <w:sz w:val="32"/>
          <w:szCs w:val="32"/>
        </w:rPr>
      </w:pPr>
      <w:r>
        <w:rPr>
          <w:rFonts w:hAnsi="黑体" w:hint="eastAsia"/>
          <w:b/>
          <w:sz w:val="32"/>
          <w:szCs w:val="32"/>
        </w:rPr>
        <w:t>一、收入支出决算总体情况说明</w:t>
      </w:r>
    </w:p>
    <w:p w:rsidR="003B2E49" w:rsidRDefault="00A5413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2021年度收、支总计</w:t>
      </w:r>
      <w:r>
        <w:rPr>
          <w:rFonts w:asciiTheme="minorEastAsia" w:eastAsiaTheme="minorEastAsia" w:hAnsiTheme="minorEastAsia"/>
          <w:sz w:val="32"/>
          <w:szCs w:val="32"/>
        </w:rPr>
        <w:t>82958.78</w:t>
      </w:r>
      <w:r>
        <w:rPr>
          <w:rFonts w:asciiTheme="minorEastAsia" w:eastAsiaTheme="minorEastAsia" w:hAnsiTheme="minorEastAsia" w:hint="eastAsia"/>
          <w:sz w:val="32"/>
          <w:szCs w:val="32"/>
        </w:rPr>
        <w:t>万元。与上年相比，增加5115.22万元，增长6.57%，主要</w:t>
      </w:r>
      <w:r w:rsidR="00356828">
        <w:rPr>
          <w:rFonts w:asciiTheme="minorEastAsia" w:eastAsiaTheme="minorEastAsia" w:hAnsiTheme="minorEastAsia" w:hint="eastAsia"/>
          <w:sz w:val="32"/>
          <w:szCs w:val="32"/>
        </w:rPr>
        <w:t>一是因为附属医院医疗业务收入的增长，其次是中医药传承创新建设工程项目资金的结转。</w:t>
      </w:r>
    </w:p>
    <w:p w:rsidR="003B2E49" w:rsidRDefault="00A5413E" w:rsidP="00EA75C5">
      <w:pPr>
        <w:pStyle w:val="Default"/>
        <w:ind w:firstLineChars="200" w:firstLine="643"/>
        <w:rPr>
          <w:rFonts w:hAnsi="黑体"/>
          <w:b/>
          <w:sz w:val="32"/>
          <w:szCs w:val="32"/>
        </w:rPr>
      </w:pPr>
      <w:r>
        <w:rPr>
          <w:rFonts w:hAnsi="黑体" w:hint="eastAsia"/>
          <w:b/>
          <w:sz w:val="32"/>
          <w:szCs w:val="32"/>
        </w:rPr>
        <w:t>二、收入决算情况说明</w:t>
      </w:r>
    </w:p>
    <w:p w:rsidR="003B2E49" w:rsidRDefault="00A5413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2021年度收入合计</w:t>
      </w:r>
      <w:r>
        <w:rPr>
          <w:rFonts w:asciiTheme="minorEastAsia" w:eastAsiaTheme="minorEastAsia" w:hAnsiTheme="minorEastAsia"/>
          <w:sz w:val="32"/>
          <w:szCs w:val="32"/>
        </w:rPr>
        <w:t>72381.37</w:t>
      </w:r>
      <w:r>
        <w:rPr>
          <w:rFonts w:asciiTheme="minorEastAsia" w:eastAsiaTheme="minorEastAsia" w:hAnsiTheme="minorEastAsia" w:hint="eastAsia"/>
          <w:sz w:val="32"/>
          <w:szCs w:val="32"/>
        </w:rPr>
        <w:t>万元，其中：财政拨款收入</w:t>
      </w:r>
      <w:r>
        <w:rPr>
          <w:rFonts w:asciiTheme="minorEastAsia" w:eastAsiaTheme="minorEastAsia" w:hAnsiTheme="minorEastAsia"/>
          <w:sz w:val="32"/>
          <w:szCs w:val="32"/>
        </w:rPr>
        <w:t>7357.44</w:t>
      </w:r>
      <w:r>
        <w:rPr>
          <w:rFonts w:asciiTheme="minorEastAsia" w:eastAsiaTheme="minorEastAsia" w:hAnsiTheme="minorEastAsia" w:hint="eastAsia"/>
          <w:sz w:val="32"/>
          <w:szCs w:val="32"/>
        </w:rPr>
        <w:t>万元，占10.16%；上级补助收入0万元，占0%；事业收入</w:t>
      </w:r>
      <w:r>
        <w:rPr>
          <w:rFonts w:asciiTheme="minorEastAsia" w:eastAsiaTheme="minorEastAsia" w:hAnsiTheme="minorEastAsia"/>
          <w:sz w:val="32"/>
          <w:szCs w:val="32"/>
        </w:rPr>
        <w:t>62966.61</w:t>
      </w:r>
      <w:r>
        <w:rPr>
          <w:rFonts w:asciiTheme="minorEastAsia" w:eastAsiaTheme="minorEastAsia" w:hAnsiTheme="minorEastAsia" w:hint="eastAsia"/>
          <w:sz w:val="32"/>
          <w:szCs w:val="32"/>
        </w:rPr>
        <w:t>万元，占86.99%；经营收入</w:t>
      </w:r>
      <w:r>
        <w:rPr>
          <w:rFonts w:asciiTheme="minorEastAsia" w:eastAsiaTheme="minorEastAsia" w:hAnsiTheme="minorEastAsia"/>
          <w:sz w:val="32"/>
          <w:szCs w:val="32"/>
        </w:rPr>
        <w:t>2057.32</w:t>
      </w:r>
      <w:r>
        <w:rPr>
          <w:rFonts w:asciiTheme="minorEastAsia" w:eastAsiaTheme="minorEastAsia" w:hAnsiTheme="minorEastAsia" w:hint="eastAsia"/>
          <w:sz w:val="32"/>
          <w:szCs w:val="32"/>
        </w:rPr>
        <w:t>万元，占2.84%；附属单位上缴收入0万元，占0%；其他收入0万元，占0%。</w:t>
      </w:r>
    </w:p>
    <w:p w:rsidR="003B2E49" w:rsidRDefault="00A5413E" w:rsidP="00EA75C5">
      <w:pPr>
        <w:pStyle w:val="Default"/>
        <w:ind w:firstLineChars="200" w:firstLine="643"/>
        <w:rPr>
          <w:rFonts w:hAnsi="黑体"/>
          <w:b/>
          <w:sz w:val="32"/>
          <w:szCs w:val="32"/>
        </w:rPr>
      </w:pPr>
      <w:r>
        <w:rPr>
          <w:rFonts w:hAnsi="黑体" w:hint="eastAsia"/>
          <w:b/>
          <w:sz w:val="32"/>
          <w:szCs w:val="32"/>
        </w:rPr>
        <w:t>三、支出决算情况说明</w:t>
      </w:r>
    </w:p>
    <w:p w:rsidR="003B2E49" w:rsidRDefault="00A5413E">
      <w:pPr>
        <w:ind w:firstLineChars="200" w:firstLine="640"/>
        <w:jc w:val="left"/>
        <w:rPr>
          <w:rFonts w:ascii="宋体" w:eastAsia="宋体" w:hAnsi="宋体" w:cs="Arial"/>
          <w:b/>
          <w:bCs/>
          <w:kern w:val="0"/>
          <w:sz w:val="20"/>
          <w:szCs w:val="20"/>
        </w:rPr>
      </w:pPr>
      <w:r>
        <w:rPr>
          <w:rFonts w:asciiTheme="minorEastAsia" w:hAnsiTheme="minorEastAsia" w:hint="eastAsia"/>
          <w:sz w:val="32"/>
          <w:szCs w:val="32"/>
        </w:rPr>
        <w:t>2021年度支出合计</w:t>
      </w:r>
      <w:r>
        <w:rPr>
          <w:rFonts w:asciiTheme="minorEastAsia" w:hAnsiTheme="minorEastAsia" w:cs="黑体" w:hint="eastAsia"/>
          <w:color w:val="000000"/>
          <w:kern w:val="0"/>
          <w:sz w:val="32"/>
          <w:szCs w:val="32"/>
        </w:rPr>
        <w:t>79,279.74</w:t>
      </w:r>
      <w:r>
        <w:rPr>
          <w:rFonts w:asciiTheme="minorEastAsia" w:hAnsiTheme="minorEastAsia" w:hint="eastAsia"/>
          <w:sz w:val="32"/>
          <w:szCs w:val="32"/>
        </w:rPr>
        <w:t>万元，其中：基本支出</w:t>
      </w:r>
      <w:r>
        <w:rPr>
          <w:rFonts w:asciiTheme="minorEastAsia" w:hAnsiTheme="minorEastAsia"/>
          <w:sz w:val="32"/>
          <w:szCs w:val="32"/>
        </w:rPr>
        <w:t>41363.98</w:t>
      </w:r>
      <w:r>
        <w:rPr>
          <w:rFonts w:asciiTheme="minorEastAsia" w:hAnsiTheme="minorEastAsia" w:hint="eastAsia"/>
          <w:sz w:val="32"/>
          <w:szCs w:val="32"/>
        </w:rPr>
        <w:t>万元，占52.17%；项目支出</w:t>
      </w:r>
      <w:r>
        <w:rPr>
          <w:rFonts w:asciiTheme="minorEastAsia" w:hAnsiTheme="minorEastAsia"/>
          <w:sz w:val="32"/>
          <w:szCs w:val="32"/>
        </w:rPr>
        <w:t>35858.44</w:t>
      </w:r>
      <w:r>
        <w:rPr>
          <w:rFonts w:asciiTheme="minorEastAsia" w:hAnsiTheme="minorEastAsia" w:hint="eastAsia"/>
          <w:sz w:val="32"/>
          <w:szCs w:val="32"/>
        </w:rPr>
        <w:t>万元，占45.23%；上缴上级支出0万元，占0%；经营支出</w:t>
      </w:r>
      <w:r>
        <w:rPr>
          <w:rFonts w:asciiTheme="minorEastAsia" w:hAnsiTheme="minorEastAsia"/>
          <w:sz w:val="32"/>
          <w:szCs w:val="32"/>
        </w:rPr>
        <w:t>2057.32</w:t>
      </w:r>
      <w:r>
        <w:rPr>
          <w:rFonts w:asciiTheme="minorEastAsia" w:hAnsiTheme="minorEastAsia" w:hint="eastAsia"/>
          <w:sz w:val="32"/>
          <w:szCs w:val="32"/>
        </w:rPr>
        <w:t>万元，占2.59%；对附属单位补助支出0万元，占0%。</w:t>
      </w:r>
    </w:p>
    <w:p w:rsidR="003B2E49" w:rsidRDefault="00A5413E" w:rsidP="00EA75C5">
      <w:pPr>
        <w:pStyle w:val="Default"/>
        <w:ind w:firstLineChars="200" w:firstLine="643"/>
        <w:rPr>
          <w:rFonts w:hAnsi="黑体"/>
          <w:b/>
          <w:sz w:val="32"/>
          <w:szCs w:val="32"/>
        </w:rPr>
      </w:pPr>
      <w:r>
        <w:rPr>
          <w:rFonts w:hAnsi="黑体" w:hint="eastAsia"/>
          <w:b/>
          <w:sz w:val="32"/>
          <w:szCs w:val="32"/>
        </w:rPr>
        <w:t>四、财政拨款收入支出决算总体情况说明</w:t>
      </w:r>
    </w:p>
    <w:p w:rsidR="003B2E49" w:rsidRDefault="00A5413E">
      <w:pPr>
        <w:jc w:val="left"/>
        <w:rPr>
          <w:rFonts w:asciiTheme="minorEastAsia" w:hAnsiTheme="minorEastAsia"/>
          <w:sz w:val="32"/>
          <w:szCs w:val="32"/>
        </w:rPr>
      </w:pPr>
      <w:r>
        <w:rPr>
          <w:rFonts w:asciiTheme="minorEastAsia" w:hAnsiTheme="minorEastAsia" w:hint="eastAsia"/>
          <w:sz w:val="32"/>
          <w:szCs w:val="32"/>
        </w:rPr>
        <w:t xml:space="preserve">    2021年度财政拨款收、支总计14,209.43万元，与上年相比，减少4952.95万元,减少25.84%，主要是因为中医药传承创新建设工程项目没有新增</w:t>
      </w:r>
      <w:r w:rsidRPr="00EA75C5">
        <w:rPr>
          <w:rFonts w:asciiTheme="minorEastAsia" w:hAnsiTheme="minorEastAsia" w:hint="eastAsia"/>
          <w:sz w:val="32"/>
          <w:szCs w:val="32"/>
        </w:rPr>
        <w:t>中央财政项目拨款</w:t>
      </w:r>
      <w:r>
        <w:rPr>
          <w:rFonts w:asciiTheme="minorEastAsia" w:hAnsiTheme="minorEastAsia" w:hint="eastAsia"/>
          <w:sz w:val="32"/>
          <w:szCs w:val="32"/>
        </w:rPr>
        <w:t>和专项债券资金。</w:t>
      </w:r>
    </w:p>
    <w:p w:rsidR="003B2E49" w:rsidRDefault="00A5413E" w:rsidP="00EA75C5">
      <w:pPr>
        <w:pStyle w:val="Default"/>
        <w:ind w:firstLineChars="200" w:firstLine="643"/>
        <w:rPr>
          <w:rFonts w:hAnsi="黑体"/>
          <w:b/>
          <w:sz w:val="32"/>
          <w:szCs w:val="32"/>
        </w:rPr>
      </w:pPr>
      <w:r>
        <w:rPr>
          <w:rFonts w:hAnsi="黑体" w:hint="eastAsia"/>
          <w:b/>
          <w:sz w:val="32"/>
          <w:szCs w:val="32"/>
        </w:rPr>
        <w:t>五、一般公共预算财政拨款支出决算情况说明</w:t>
      </w:r>
    </w:p>
    <w:p w:rsidR="003B2E49" w:rsidRDefault="00A5413E" w:rsidP="00EA75C5">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3B2E49" w:rsidRDefault="00A5413E">
      <w:pPr>
        <w:ind w:firstLineChars="200" w:firstLine="640"/>
        <w:jc w:val="left"/>
        <w:rPr>
          <w:rFonts w:asciiTheme="minorEastAsia" w:hAnsiTheme="minorEastAsia"/>
          <w:sz w:val="32"/>
          <w:szCs w:val="32"/>
        </w:rPr>
      </w:pPr>
      <w:r>
        <w:rPr>
          <w:rFonts w:asciiTheme="minorEastAsia" w:hAnsiTheme="minorEastAsia" w:hint="eastAsia"/>
          <w:sz w:val="32"/>
          <w:szCs w:val="32"/>
        </w:rPr>
        <w:t>2021年度财政拨款支出10,530.40万元，占本年支出合计的13.28%，与上年相比，财政拨款支出增加1790.22万元，增长20.48%，主要是因为中医药传承创新建设工程项目进入</w:t>
      </w:r>
      <w:r w:rsidRPr="00EA75C5">
        <w:rPr>
          <w:rFonts w:asciiTheme="minorEastAsia" w:hAnsiTheme="minorEastAsia" w:hint="eastAsia"/>
          <w:sz w:val="32"/>
          <w:szCs w:val="32"/>
        </w:rPr>
        <w:t>建设高潮期</w:t>
      </w:r>
      <w:r>
        <w:rPr>
          <w:rFonts w:asciiTheme="minorEastAsia" w:hAnsiTheme="minorEastAsia" w:hint="eastAsia"/>
          <w:sz w:val="32"/>
          <w:szCs w:val="32"/>
        </w:rPr>
        <w:t>，随之工程款的支付进度加</w:t>
      </w:r>
      <w:r>
        <w:rPr>
          <w:rFonts w:asciiTheme="minorEastAsia" w:hAnsiTheme="minorEastAsia" w:hint="eastAsia"/>
          <w:sz w:val="32"/>
          <w:szCs w:val="32"/>
        </w:rPr>
        <w:lastRenderedPageBreak/>
        <w:t>快。</w:t>
      </w:r>
    </w:p>
    <w:p w:rsidR="003B2E49" w:rsidRDefault="003B2E49">
      <w:pPr>
        <w:jc w:val="left"/>
        <w:rPr>
          <w:rFonts w:ascii="宋体" w:eastAsia="宋体" w:hAnsi="宋体" w:cs="Arial"/>
          <w:b/>
          <w:bCs/>
          <w:kern w:val="0"/>
          <w:sz w:val="20"/>
          <w:szCs w:val="20"/>
        </w:rPr>
      </w:pPr>
    </w:p>
    <w:p w:rsidR="003B2E49" w:rsidRDefault="00A5413E" w:rsidP="00EA75C5">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3B2E49" w:rsidRDefault="00A5413E">
      <w:pPr>
        <w:ind w:firstLineChars="200" w:firstLine="640"/>
        <w:jc w:val="left"/>
        <w:rPr>
          <w:rFonts w:asciiTheme="minorEastAsia" w:hAnsiTheme="minorEastAsia"/>
          <w:sz w:val="32"/>
          <w:szCs w:val="32"/>
        </w:rPr>
      </w:pPr>
      <w:r>
        <w:rPr>
          <w:rFonts w:asciiTheme="minorEastAsia" w:hAnsiTheme="minorEastAsia" w:hint="eastAsia"/>
          <w:sz w:val="32"/>
          <w:szCs w:val="32"/>
        </w:rPr>
        <w:t>2021年度财政拨款支出10,530.40万元，主要用于以下方面：一般公共服务（类）支出12.68万元，占0.12%；科学技术（类）支出3,416.37万元，占32.44%；社会保障（类）支出800万元，占7.59%,卫生健康（类）支出6,109.81万元，占58.02%,住房保障（类）支出191.27万元，占1.82%,农林水（类）支出0.27万元，占0.002%,</w:t>
      </w:r>
    </w:p>
    <w:p w:rsidR="003B2E49" w:rsidRDefault="00A5413E" w:rsidP="00EA75C5">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2021年度财政拨款支出年初预算数为11019.84万元，支出决算数为</w:t>
      </w:r>
      <w:r>
        <w:rPr>
          <w:rFonts w:asciiTheme="minorEastAsia" w:hAnsiTheme="minorEastAsia" w:hint="eastAsia"/>
          <w:sz w:val="32"/>
          <w:szCs w:val="32"/>
        </w:rPr>
        <w:t>10,530.40</w:t>
      </w:r>
      <w:r>
        <w:rPr>
          <w:rFonts w:asciiTheme="minorEastAsia" w:eastAsiaTheme="minorEastAsia" w:hAnsiTheme="minorEastAsia" w:hint="eastAsia"/>
          <w:sz w:val="32"/>
          <w:szCs w:val="32"/>
        </w:rPr>
        <w:t>万元，完成年初预算的95.56%，其中：</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1、一般公共服务支出（类）。</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年初预算为12.7万元，支出决算为12.68万元，完成年初预算的99.84%。</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2、科学技术（类）</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年初预算为3385.68万元，支出决算为3,416.37万元，完成年初预算的100.9%，决算数</w:t>
      </w:r>
      <w:r>
        <w:rPr>
          <w:rFonts w:asciiTheme="minorEastAsia" w:eastAsiaTheme="minorEastAsia" w:hAnsiTheme="minorEastAsia" w:hint="eastAsia"/>
          <w:color w:val="000000" w:themeColor="text1"/>
          <w:sz w:val="32"/>
          <w:szCs w:val="32"/>
        </w:rPr>
        <w:t>大</w:t>
      </w:r>
      <w:r>
        <w:rPr>
          <w:rFonts w:asciiTheme="minorEastAsia" w:eastAsiaTheme="minorEastAsia" w:hAnsiTheme="minorEastAsia" w:hint="eastAsia"/>
          <w:sz w:val="32"/>
          <w:szCs w:val="32"/>
        </w:rPr>
        <w:t>于年初预算数的主要原因是：人员经费的增加。</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3、社会保障和就业支出（类）</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color w:val="000000" w:themeColor="text1"/>
          <w:sz w:val="32"/>
          <w:szCs w:val="32"/>
        </w:rPr>
        <w:t>800</w:t>
      </w:r>
      <w:r>
        <w:rPr>
          <w:rFonts w:asciiTheme="minorEastAsia" w:eastAsiaTheme="minorEastAsia" w:hAnsiTheme="minorEastAsia" w:hint="eastAsia"/>
          <w:sz w:val="32"/>
          <w:szCs w:val="32"/>
        </w:rPr>
        <w:t>万元，支出决算为800万元，完成年初预算的100%。</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4、卫生健康支出（类）</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color w:val="000000" w:themeColor="text1"/>
          <w:sz w:val="32"/>
          <w:szCs w:val="32"/>
        </w:rPr>
        <w:t>6625.20</w:t>
      </w:r>
      <w:r>
        <w:rPr>
          <w:rFonts w:asciiTheme="minorEastAsia" w:eastAsiaTheme="minorEastAsia" w:hAnsiTheme="minorEastAsia" w:hint="eastAsia"/>
          <w:sz w:val="32"/>
          <w:szCs w:val="32"/>
        </w:rPr>
        <w:t>万元，支出决算为6,109.81万元，完成年初预算的92.22%。</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5、住房保障支出（类）</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年初预算为191.27万元，支出决算为191.27万元，完成年初预算的100%。</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6、农林水支出（类）</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年初预算为5万元，支出决算为0.27万元，完成年初预算的5.4%。</w:t>
      </w:r>
    </w:p>
    <w:p w:rsidR="003B2E49" w:rsidRDefault="003B2E49">
      <w:pPr>
        <w:pStyle w:val="Default"/>
        <w:ind w:firstLineChars="250" w:firstLine="800"/>
        <w:rPr>
          <w:rFonts w:asciiTheme="minorEastAsia" w:hAnsiTheme="minorEastAsia"/>
          <w:sz w:val="32"/>
          <w:szCs w:val="32"/>
        </w:rPr>
      </w:pPr>
    </w:p>
    <w:p w:rsidR="003B2E49" w:rsidRDefault="003B2E49">
      <w:pPr>
        <w:pStyle w:val="Default"/>
        <w:ind w:firstLineChars="250" w:firstLine="800"/>
        <w:rPr>
          <w:rFonts w:asciiTheme="minorEastAsia" w:eastAsiaTheme="minorEastAsia" w:hAnsiTheme="minorEastAsia"/>
          <w:sz w:val="32"/>
          <w:szCs w:val="32"/>
        </w:rPr>
      </w:pPr>
    </w:p>
    <w:p w:rsidR="003B2E49" w:rsidRDefault="00A5413E" w:rsidP="00EA75C5">
      <w:pPr>
        <w:pStyle w:val="Default"/>
        <w:ind w:firstLineChars="200" w:firstLine="643"/>
        <w:rPr>
          <w:rFonts w:hAnsi="黑体"/>
          <w:b/>
          <w:sz w:val="32"/>
          <w:szCs w:val="32"/>
        </w:rPr>
      </w:pPr>
      <w:r>
        <w:rPr>
          <w:rFonts w:hAnsi="黑体" w:hint="eastAsia"/>
          <w:b/>
          <w:sz w:val="32"/>
          <w:szCs w:val="32"/>
        </w:rPr>
        <w:t>六、一般公共预算财政拨款基本支出决算情况说明</w:t>
      </w:r>
    </w:p>
    <w:p w:rsidR="003B2E49" w:rsidRDefault="00A5413E">
      <w:pPr>
        <w:pStyle w:val="Default"/>
        <w:ind w:firstLineChars="200" w:firstLine="640"/>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2021年度财政拨款基本支出4167.85万元，其中：人员经费4167.85万元，占基本支出的100%,主要包括基本工资、津贴补贴、机关事业单位基本养老保险缴费、职业年金缴费、住房公积金等；公用经费0万元，占基本支出的0%，主要包括办公费、印刷费、咨询费、手续费。</w:t>
      </w:r>
    </w:p>
    <w:p w:rsidR="003B2E49" w:rsidRDefault="00A5413E" w:rsidP="00EA75C5">
      <w:pPr>
        <w:pStyle w:val="Default"/>
        <w:ind w:firstLineChars="200" w:firstLine="643"/>
        <w:rPr>
          <w:rFonts w:hAnsi="黑体"/>
          <w:b/>
          <w:sz w:val="32"/>
          <w:szCs w:val="32"/>
        </w:rPr>
      </w:pPr>
      <w:r>
        <w:rPr>
          <w:rFonts w:hAnsi="黑体" w:hint="eastAsia"/>
          <w:b/>
          <w:sz w:val="32"/>
          <w:szCs w:val="32"/>
        </w:rPr>
        <w:t>七、一般公共预算财政拨款“三公”经费支出决算情况说明</w:t>
      </w:r>
    </w:p>
    <w:p w:rsidR="003B2E49" w:rsidRDefault="00A5413E" w:rsidP="00EA75C5">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2021年度“三公”经费财政拨款支出预算为0万元，支出决算为0万元，完成预算的0%，其中：</w:t>
      </w:r>
    </w:p>
    <w:p w:rsidR="003B2E49" w:rsidRDefault="00A5413E">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因公出国（境）费支出预算为0万元，支出决算为0万元，完成预算的0%。</w:t>
      </w:r>
    </w:p>
    <w:p w:rsidR="003B2E49" w:rsidRDefault="0054064B" w:rsidP="0054064B">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w:t>
      </w:r>
      <w:r w:rsidR="00A5413E">
        <w:rPr>
          <w:rFonts w:asciiTheme="minorEastAsia" w:eastAsiaTheme="minorEastAsia" w:hAnsiTheme="minorEastAsia" w:hint="eastAsia"/>
          <w:sz w:val="32"/>
          <w:szCs w:val="32"/>
        </w:rPr>
        <w:t>公务接待费支出预算为0万元，支出决算为0万元，完成预算的0%。</w:t>
      </w:r>
    </w:p>
    <w:p w:rsidR="003B2E49" w:rsidRDefault="00A5413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公务用车购置费支出预算为0万元，支出决算为0万元，完成预算的0%。</w:t>
      </w:r>
    </w:p>
    <w:p w:rsidR="003B2E49" w:rsidRDefault="00A5413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公务用车运行维护费支出预算为0万元，支出决算为0万元，完成预算的0%。</w:t>
      </w:r>
    </w:p>
    <w:p w:rsidR="003B2E49" w:rsidRDefault="00A5413E" w:rsidP="00EA75C5">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3B2E49" w:rsidRDefault="00A5413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2021年度“三公”经费财政拨款支出决算中，公务接待费支出决算0万元，占0%,因公出国（境）费支出决算0万元，占0%,公务用车购置费及运行维护费支出决算0万元，占0%。其中：</w:t>
      </w:r>
    </w:p>
    <w:p w:rsidR="003B2E49" w:rsidRDefault="00A5413E">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1、因公出国（境）费支出决算为0万元，全年安排因公出国（境）团组0个，累计0人次</w:t>
      </w:r>
      <w:r w:rsidR="0054064B">
        <w:rPr>
          <w:rFonts w:asciiTheme="minorEastAsia" w:eastAsiaTheme="minorEastAsia" w:hAnsiTheme="minorEastAsia" w:hint="eastAsia"/>
          <w:sz w:val="32"/>
          <w:szCs w:val="32"/>
        </w:rPr>
        <w:t>。</w:t>
      </w:r>
    </w:p>
    <w:p w:rsidR="00EA75C5" w:rsidRDefault="00A5413E" w:rsidP="00EA75C5">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2、公务接待费支出决算为0万元，全年共接待来访团组0个、来宾0</w:t>
      </w:r>
      <w:r w:rsidR="0054064B">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3B2E49" w:rsidRPr="00EA75C5" w:rsidRDefault="00EA75C5" w:rsidP="00EA75C5">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 xml:space="preserve">    </w:t>
      </w:r>
      <w:r w:rsidR="00A5413E" w:rsidRPr="00EA75C5">
        <w:rPr>
          <w:rFonts w:asciiTheme="minorEastAsia" w:eastAsiaTheme="minorEastAsia" w:hAnsiTheme="minorEastAsia" w:hint="eastAsia"/>
          <w:sz w:val="32"/>
          <w:szCs w:val="32"/>
        </w:rPr>
        <w:t>3、公务用车购置费及运行维护费支出决算为0万元，其中：公务用车购置费0万元，0（单位本级或某二级机构）更新公务用车</w:t>
      </w:r>
      <w:r w:rsidR="0054064B">
        <w:rPr>
          <w:rFonts w:asciiTheme="minorEastAsia" w:eastAsiaTheme="minorEastAsia" w:hAnsiTheme="minorEastAsia" w:hint="eastAsia"/>
          <w:sz w:val="32"/>
          <w:szCs w:val="32"/>
        </w:rPr>
        <w:t>0</w:t>
      </w:r>
      <w:r w:rsidR="00A5413E" w:rsidRPr="00EA75C5">
        <w:rPr>
          <w:rFonts w:asciiTheme="minorEastAsia" w:eastAsiaTheme="minorEastAsia" w:hAnsiTheme="minorEastAsia" w:hint="eastAsia"/>
          <w:sz w:val="32"/>
          <w:szCs w:val="32"/>
        </w:rPr>
        <w:t>辆。公务用车运行维护费0</w:t>
      </w:r>
      <w:r w:rsidR="0054064B">
        <w:rPr>
          <w:rFonts w:asciiTheme="minorEastAsia" w:eastAsiaTheme="minorEastAsia" w:hAnsiTheme="minorEastAsia" w:hint="eastAsia"/>
          <w:sz w:val="32"/>
          <w:szCs w:val="32"/>
        </w:rPr>
        <w:t>万元</w:t>
      </w:r>
      <w:r w:rsidR="00A5413E" w:rsidRPr="00EA75C5">
        <w:rPr>
          <w:rFonts w:asciiTheme="minorEastAsia" w:eastAsiaTheme="minorEastAsia" w:hAnsiTheme="minorEastAsia" w:hint="eastAsia"/>
          <w:sz w:val="32"/>
          <w:szCs w:val="32"/>
        </w:rPr>
        <w:t>，截止2021年12月31日，我单位开支财政拨款的公务用车保有量为</w:t>
      </w:r>
      <w:r>
        <w:rPr>
          <w:rFonts w:asciiTheme="minorEastAsia" w:eastAsiaTheme="minorEastAsia" w:hAnsiTheme="minorEastAsia" w:hint="eastAsia"/>
          <w:sz w:val="32"/>
          <w:szCs w:val="32"/>
        </w:rPr>
        <w:t>0</w:t>
      </w:r>
      <w:r w:rsidR="00A5413E" w:rsidRPr="00EA75C5">
        <w:rPr>
          <w:rFonts w:asciiTheme="minorEastAsia" w:eastAsiaTheme="minorEastAsia" w:hAnsiTheme="minorEastAsia" w:hint="eastAsia"/>
          <w:sz w:val="32"/>
          <w:szCs w:val="32"/>
        </w:rPr>
        <w:t>辆。</w:t>
      </w:r>
    </w:p>
    <w:p w:rsidR="003B2E49" w:rsidRDefault="00A5413E" w:rsidP="00EA75C5">
      <w:pPr>
        <w:pStyle w:val="Default"/>
        <w:ind w:firstLineChars="200" w:firstLine="643"/>
        <w:rPr>
          <w:rFonts w:hAnsi="黑体"/>
          <w:b/>
          <w:sz w:val="32"/>
          <w:szCs w:val="32"/>
        </w:rPr>
      </w:pPr>
      <w:r>
        <w:rPr>
          <w:rFonts w:hAnsi="黑体" w:hint="eastAsia"/>
          <w:b/>
          <w:sz w:val="32"/>
          <w:szCs w:val="32"/>
        </w:rPr>
        <w:t>八、政府性基金预算收入支出决算情况</w:t>
      </w:r>
    </w:p>
    <w:p w:rsidR="003B2E49" w:rsidRDefault="00A5413E">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2021年度政府性基金预算财政拨款收入0万元；年初结转和结余0万元；支出0万元，其中基本支出0万元，项目支出0万元；年末结转和结余0万元。</w:t>
      </w:r>
    </w:p>
    <w:p w:rsidR="003B2E49" w:rsidRDefault="00A5413E" w:rsidP="00EA75C5">
      <w:pPr>
        <w:pStyle w:val="Default"/>
        <w:ind w:firstLineChars="200" w:firstLine="643"/>
        <w:rPr>
          <w:rFonts w:hAnsi="黑体"/>
          <w:b/>
          <w:sz w:val="32"/>
          <w:szCs w:val="32"/>
        </w:rPr>
      </w:pPr>
      <w:r>
        <w:rPr>
          <w:rFonts w:hAnsi="黑体" w:hint="eastAsia"/>
          <w:b/>
          <w:sz w:val="32"/>
          <w:szCs w:val="32"/>
        </w:rPr>
        <w:t>九、机关运行经费支出说明</w:t>
      </w:r>
    </w:p>
    <w:p w:rsidR="003B2E49" w:rsidRDefault="00A5413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本部门2021年度机关运行经费支出0万元。</w:t>
      </w:r>
    </w:p>
    <w:p w:rsidR="003B2E49" w:rsidRDefault="00A5413E" w:rsidP="00EA75C5">
      <w:pPr>
        <w:pStyle w:val="Default"/>
        <w:ind w:firstLineChars="200" w:firstLine="643"/>
        <w:rPr>
          <w:rFonts w:hAnsi="黑体"/>
          <w:b/>
          <w:sz w:val="32"/>
          <w:szCs w:val="32"/>
        </w:rPr>
      </w:pPr>
      <w:r>
        <w:rPr>
          <w:rFonts w:hAnsi="黑体" w:hint="eastAsia"/>
          <w:b/>
          <w:sz w:val="32"/>
          <w:szCs w:val="32"/>
        </w:rPr>
        <w:t>十、一般性支出情况说明</w:t>
      </w:r>
    </w:p>
    <w:p w:rsidR="003B2E49" w:rsidRDefault="00A5413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sz w:val="32"/>
          <w:szCs w:val="32"/>
        </w:rPr>
        <w:t>2021年本部门开支会议费0万元，用于召开</w:t>
      </w:r>
      <w:r w:rsidR="00D56B78">
        <w:rPr>
          <w:rFonts w:asciiTheme="minorEastAsia" w:eastAsiaTheme="minorEastAsia" w:hAnsiTheme="minorEastAsia" w:hint="eastAsia"/>
          <w:sz w:val="32"/>
          <w:szCs w:val="32"/>
        </w:rPr>
        <w:t>0</w:t>
      </w:r>
      <w:r>
        <w:rPr>
          <w:rFonts w:asciiTheme="minorEastAsia" w:eastAsiaTheme="minorEastAsia" w:hAnsiTheme="minorEastAsia"/>
          <w:sz w:val="32"/>
          <w:szCs w:val="32"/>
        </w:rPr>
        <w:t>会议，人数</w:t>
      </w:r>
      <w:r w:rsidR="004950ED">
        <w:rPr>
          <w:rFonts w:asciiTheme="minorEastAsia" w:eastAsiaTheme="minorEastAsia" w:hAnsiTheme="minorEastAsia" w:hint="eastAsia"/>
          <w:sz w:val="32"/>
          <w:szCs w:val="32"/>
        </w:rPr>
        <w:t>0</w:t>
      </w:r>
      <w:r w:rsidR="00D56B78">
        <w:rPr>
          <w:rFonts w:asciiTheme="minorEastAsia" w:eastAsiaTheme="minorEastAsia" w:hAnsiTheme="minorEastAsia"/>
          <w:sz w:val="32"/>
          <w:szCs w:val="32"/>
        </w:rPr>
        <w:t>人</w:t>
      </w:r>
      <w:r>
        <w:rPr>
          <w:rFonts w:asciiTheme="minorEastAsia" w:eastAsiaTheme="minorEastAsia" w:hAnsiTheme="minorEastAsia"/>
          <w:sz w:val="32"/>
          <w:szCs w:val="32"/>
        </w:rPr>
        <w:t>；开支培训费432.77万元，用于开展住院医生、医联体、中医药文化、中医药师承培训，人数535人，内容为住院医生培训、医联体建设培训、中医药文化培训、中医药师承培训；举办</w:t>
      </w:r>
      <w:r w:rsidR="00D56B78">
        <w:rPr>
          <w:rFonts w:asciiTheme="minorEastAsia" w:eastAsiaTheme="minorEastAsia" w:hAnsiTheme="minorEastAsia" w:hint="eastAsia"/>
          <w:sz w:val="32"/>
          <w:szCs w:val="32"/>
        </w:rPr>
        <w:t>0</w:t>
      </w:r>
      <w:r>
        <w:rPr>
          <w:rFonts w:asciiTheme="minorEastAsia" w:eastAsiaTheme="minorEastAsia" w:hAnsiTheme="minorEastAsia"/>
          <w:sz w:val="32"/>
          <w:szCs w:val="32"/>
        </w:rPr>
        <w:t>等节庆、晚会、论坛、赛事活动，开支0</w:t>
      </w:r>
      <w:r w:rsidR="00D56B78">
        <w:rPr>
          <w:rFonts w:asciiTheme="minorEastAsia" w:eastAsiaTheme="minorEastAsia" w:hAnsiTheme="minorEastAsia"/>
          <w:sz w:val="32"/>
          <w:szCs w:val="32"/>
        </w:rPr>
        <w:t>万元</w:t>
      </w:r>
      <w:r>
        <w:rPr>
          <w:rFonts w:asciiTheme="minorEastAsia" w:eastAsiaTheme="minorEastAsia" w:hAnsiTheme="minorEastAsia"/>
          <w:sz w:val="32"/>
          <w:szCs w:val="32"/>
        </w:rPr>
        <w:t>。（注：三类会议、培训活动，节庆、晚会、论坛、赛事等活动，请分项列明活动计划及经费预算情况）</w:t>
      </w:r>
    </w:p>
    <w:p w:rsidR="003B2E49" w:rsidRDefault="00A5413E" w:rsidP="00EA75C5">
      <w:pPr>
        <w:pStyle w:val="Default"/>
        <w:ind w:firstLineChars="200" w:firstLine="643"/>
        <w:rPr>
          <w:rFonts w:hAnsi="黑体"/>
          <w:b/>
          <w:sz w:val="32"/>
          <w:szCs w:val="32"/>
        </w:rPr>
      </w:pPr>
      <w:r>
        <w:rPr>
          <w:rFonts w:hAnsi="黑体" w:hint="eastAsia"/>
          <w:b/>
          <w:sz w:val="32"/>
          <w:szCs w:val="32"/>
        </w:rPr>
        <w:t>十一、政府采购支出说明</w:t>
      </w:r>
    </w:p>
    <w:p w:rsidR="003B2E49" w:rsidRDefault="00A5413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本部门2021年度政府采购支出总额5188.57万元，其中：政府采购货物支出</w:t>
      </w:r>
      <w:r w:rsidR="00E93197">
        <w:rPr>
          <w:rFonts w:asciiTheme="minorEastAsia" w:eastAsiaTheme="minorEastAsia" w:hAnsiTheme="minorEastAsia" w:hint="eastAsia"/>
          <w:sz w:val="32"/>
          <w:szCs w:val="32"/>
        </w:rPr>
        <w:t>0万元，</w:t>
      </w:r>
      <w:r>
        <w:rPr>
          <w:rFonts w:asciiTheme="minorEastAsia" w:eastAsiaTheme="minorEastAsia" w:hAnsiTheme="minorEastAsia" w:hint="eastAsia"/>
          <w:sz w:val="32"/>
          <w:szCs w:val="32"/>
        </w:rPr>
        <w:t>政府采购工程支出5188.57 万元</w:t>
      </w:r>
      <w:r w:rsidR="00E93197">
        <w:rPr>
          <w:rFonts w:asciiTheme="minorEastAsia" w:eastAsiaTheme="minorEastAsia" w:hAnsiTheme="minorEastAsia" w:hint="eastAsia"/>
          <w:sz w:val="32"/>
          <w:szCs w:val="32"/>
        </w:rPr>
        <w:t>,占政府采购金额的100%；</w:t>
      </w:r>
      <w:r>
        <w:rPr>
          <w:rFonts w:asciiTheme="minorEastAsia" w:eastAsiaTheme="minorEastAsia" w:hAnsiTheme="minorEastAsia" w:hint="eastAsia"/>
          <w:sz w:val="32"/>
          <w:szCs w:val="32"/>
        </w:rPr>
        <w:t>政府采购服务支出</w:t>
      </w:r>
      <w:r w:rsidR="00E93197">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万元。授予中小企业合同金额10万元，占政府采购支出总额的</w:t>
      </w:r>
      <w:r w:rsidR="00E93197">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%，其中：授予小微企业合同金额10万元，占授予中小企业合同金额的100%；货物采购授予中小企业合同金额占货物支出金额的</w:t>
      </w:r>
      <w:r w:rsidR="00E93197">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%，工程采购授予中小企业合同金额占工程支出金额的</w:t>
      </w:r>
      <w:r w:rsidR="00E93197">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%，服务采购授予中小企业合同金额占服务支出金额的</w:t>
      </w:r>
      <w:r w:rsidR="00E93197">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3B2E49" w:rsidRDefault="003B2E49">
      <w:pPr>
        <w:pStyle w:val="Default"/>
        <w:rPr>
          <w:rFonts w:asciiTheme="minorEastAsia" w:eastAsiaTheme="minorEastAsia" w:hAnsiTheme="minorEastAsia"/>
          <w:sz w:val="32"/>
          <w:szCs w:val="32"/>
        </w:rPr>
      </w:pPr>
    </w:p>
    <w:p w:rsidR="003B2E49" w:rsidRDefault="00A5413E" w:rsidP="00EA75C5">
      <w:pPr>
        <w:pStyle w:val="Default"/>
        <w:ind w:firstLineChars="200" w:firstLine="643"/>
        <w:rPr>
          <w:rFonts w:hAnsi="黑体"/>
          <w:b/>
          <w:sz w:val="32"/>
          <w:szCs w:val="32"/>
        </w:rPr>
      </w:pPr>
      <w:r>
        <w:rPr>
          <w:rFonts w:hAnsi="黑体" w:hint="eastAsia"/>
          <w:b/>
          <w:sz w:val="32"/>
          <w:szCs w:val="32"/>
        </w:rPr>
        <w:t>十二、国有资产占用情况说明</w:t>
      </w:r>
    </w:p>
    <w:p w:rsidR="003B2E49" w:rsidRDefault="00A5413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截至2021年12月31日，部门（单位）共有车辆10辆，其中，主要领导干部用车0辆，机要通信用车3辆、应急保障用车</w:t>
      </w:r>
      <w:r w:rsidR="006C6E02">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sidR="006C6E02">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辆、特种专业技术用车3辆、其他用车4辆，其他用车主要是</w:t>
      </w:r>
      <w:r w:rsidR="00B675AA">
        <w:rPr>
          <w:rFonts w:asciiTheme="minorEastAsia" w:eastAsiaTheme="minorEastAsia" w:hAnsiTheme="minorEastAsia" w:hint="eastAsia"/>
          <w:sz w:val="32"/>
          <w:szCs w:val="32"/>
        </w:rPr>
        <w:t>业务用车</w:t>
      </w:r>
      <w:r>
        <w:rPr>
          <w:rFonts w:asciiTheme="minorEastAsia" w:eastAsiaTheme="minorEastAsia" w:hAnsiTheme="minorEastAsia" w:hint="eastAsia"/>
          <w:sz w:val="32"/>
          <w:szCs w:val="32"/>
        </w:rPr>
        <w:t>；单位价值50万元以上通用设备11台（套）；单位价值100万元以上专用设备39台（套）。</w:t>
      </w:r>
    </w:p>
    <w:p w:rsidR="003B2E49" w:rsidRDefault="00A5413E" w:rsidP="00EA75C5">
      <w:pPr>
        <w:pStyle w:val="Default"/>
        <w:ind w:firstLineChars="200" w:firstLine="643"/>
        <w:rPr>
          <w:rFonts w:hAnsi="黑体"/>
          <w:b/>
          <w:sz w:val="32"/>
          <w:szCs w:val="32"/>
        </w:rPr>
      </w:pPr>
      <w:r>
        <w:rPr>
          <w:rFonts w:hAnsi="黑体" w:hint="eastAsia"/>
          <w:b/>
          <w:sz w:val="32"/>
          <w:szCs w:val="32"/>
        </w:rPr>
        <w:t>十三、2021年度预算绩效情况说明</w:t>
      </w:r>
    </w:p>
    <w:p w:rsidR="003B2E49" w:rsidRDefault="00A5413E" w:rsidP="00EA75C5">
      <w:pPr>
        <w:autoSpaceDE w:val="0"/>
        <w:autoSpaceDN w:val="0"/>
        <w:adjustRightInd w:val="0"/>
        <w:ind w:firstLineChars="200" w:firstLine="643"/>
        <w:jc w:val="left"/>
        <w:rPr>
          <w:rFonts w:asciiTheme="minorEastAsia" w:hAnsiTheme="minorEastAsia" w:cs="黑体"/>
          <w:color w:val="000000"/>
          <w:kern w:val="0"/>
          <w:sz w:val="32"/>
          <w:szCs w:val="32"/>
        </w:rPr>
      </w:pPr>
      <w:r>
        <w:rPr>
          <w:rFonts w:asciiTheme="minorEastAsia" w:hAnsiTheme="minorEastAsia" w:cs="黑体" w:hint="eastAsia"/>
          <w:b/>
          <w:color w:val="000000"/>
          <w:kern w:val="0"/>
          <w:sz w:val="32"/>
          <w:szCs w:val="32"/>
        </w:rPr>
        <w:t>（1）绩效管理评价工作开展情况</w:t>
      </w:r>
      <w:r>
        <w:rPr>
          <w:rFonts w:asciiTheme="minorEastAsia" w:hAnsiTheme="minorEastAsia" w:cs="黑体" w:hint="eastAsia"/>
          <w:color w:val="000000"/>
          <w:kern w:val="0"/>
          <w:sz w:val="32"/>
          <w:szCs w:val="32"/>
        </w:rPr>
        <w:t>。</w:t>
      </w:r>
    </w:p>
    <w:p w:rsidR="003B2E49" w:rsidRDefault="00A5413E">
      <w:pPr>
        <w:autoSpaceDE w:val="0"/>
        <w:autoSpaceDN w:val="0"/>
        <w:adjustRightInd w:val="0"/>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根据预算绩效管理要求，我部门组织对</w:t>
      </w:r>
      <w:r>
        <w:rPr>
          <w:rFonts w:asciiTheme="minorEastAsia" w:hAnsiTheme="minorEastAsia" w:cs="黑体"/>
          <w:color w:val="000000"/>
          <w:kern w:val="0"/>
          <w:sz w:val="32"/>
          <w:szCs w:val="32"/>
        </w:rPr>
        <w:t xml:space="preserve">2021 </w:t>
      </w:r>
      <w:r>
        <w:rPr>
          <w:rFonts w:asciiTheme="minorEastAsia" w:hAnsiTheme="minorEastAsia" w:cs="黑体" w:hint="eastAsia"/>
          <w:color w:val="000000"/>
          <w:kern w:val="0"/>
          <w:sz w:val="32"/>
          <w:szCs w:val="32"/>
        </w:rPr>
        <w:t>年度一般公共预算项目支出全面开展绩效自评，其中，一级项目3个，二级项目28</w:t>
      </w:r>
      <w:r>
        <w:rPr>
          <w:rFonts w:asciiTheme="minorEastAsia" w:hAnsiTheme="minorEastAsia" w:cs="黑体"/>
          <w:color w:val="000000"/>
          <w:kern w:val="0"/>
          <w:sz w:val="32"/>
          <w:szCs w:val="32"/>
        </w:rPr>
        <w:t xml:space="preserve"> </w:t>
      </w:r>
      <w:r>
        <w:rPr>
          <w:rFonts w:asciiTheme="minorEastAsia" w:hAnsiTheme="minorEastAsia" w:cs="黑体" w:hint="eastAsia"/>
          <w:color w:val="000000"/>
          <w:kern w:val="0"/>
          <w:sz w:val="32"/>
          <w:szCs w:val="32"/>
        </w:rPr>
        <w:t>个，共涉及资金501</w:t>
      </w:r>
      <w:r>
        <w:rPr>
          <w:rFonts w:asciiTheme="minorEastAsia" w:hAnsiTheme="minorEastAsia" w:cs="黑体"/>
          <w:color w:val="000000"/>
          <w:kern w:val="0"/>
          <w:sz w:val="32"/>
          <w:szCs w:val="32"/>
        </w:rPr>
        <w:t xml:space="preserve"> </w:t>
      </w:r>
      <w:r>
        <w:rPr>
          <w:rFonts w:asciiTheme="minorEastAsia" w:hAnsiTheme="minorEastAsia" w:cs="黑体" w:hint="eastAsia"/>
          <w:color w:val="000000"/>
          <w:kern w:val="0"/>
          <w:sz w:val="32"/>
          <w:szCs w:val="32"/>
        </w:rPr>
        <w:t>万元，占一般公共预算项目支出总额的7.87</w:t>
      </w:r>
      <w:r>
        <w:rPr>
          <w:rFonts w:asciiTheme="minorEastAsia" w:hAnsiTheme="minorEastAsia" w:cs="黑体"/>
          <w:color w:val="000000"/>
          <w:kern w:val="0"/>
          <w:sz w:val="32"/>
          <w:szCs w:val="32"/>
        </w:rPr>
        <w:t>%</w:t>
      </w:r>
      <w:r>
        <w:rPr>
          <w:rFonts w:asciiTheme="minorEastAsia" w:hAnsiTheme="minorEastAsia" w:cs="黑体" w:hint="eastAsia"/>
          <w:color w:val="000000"/>
          <w:kern w:val="0"/>
          <w:sz w:val="32"/>
          <w:szCs w:val="32"/>
        </w:rPr>
        <w:t>。组织对</w:t>
      </w:r>
      <w:r>
        <w:rPr>
          <w:rFonts w:asciiTheme="minorEastAsia" w:hAnsiTheme="minorEastAsia" w:cs="黑体"/>
          <w:color w:val="000000"/>
          <w:kern w:val="0"/>
          <w:sz w:val="32"/>
          <w:szCs w:val="32"/>
        </w:rPr>
        <w:t>2021</w:t>
      </w:r>
      <w:r>
        <w:rPr>
          <w:rFonts w:asciiTheme="minorEastAsia" w:hAnsiTheme="minorEastAsia" w:cs="黑体" w:hint="eastAsia"/>
          <w:color w:val="000000"/>
          <w:kern w:val="0"/>
          <w:sz w:val="32"/>
          <w:szCs w:val="32"/>
        </w:rPr>
        <w:t>年度</w:t>
      </w:r>
      <w:r w:rsidR="006C6E02">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w:t>
      </w:r>
      <w:r w:rsidR="006C6E02">
        <w:rPr>
          <w:rFonts w:asciiTheme="minorEastAsia" w:hAnsiTheme="minorEastAsia" w:cs="黑体" w:hint="eastAsia"/>
          <w:color w:val="000000"/>
          <w:kern w:val="0"/>
          <w:sz w:val="32"/>
          <w:szCs w:val="32"/>
        </w:rPr>
        <w:t>0</w:t>
      </w:r>
      <w:r>
        <w:rPr>
          <w:rFonts w:asciiTheme="minorEastAsia" w:hAnsiTheme="minorEastAsia" w:cs="黑体"/>
          <w:color w:val="000000"/>
          <w:kern w:val="0"/>
          <w:sz w:val="32"/>
          <w:szCs w:val="32"/>
        </w:rPr>
        <w:t xml:space="preserve"> </w:t>
      </w:r>
      <w:r>
        <w:rPr>
          <w:rFonts w:asciiTheme="minorEastAsia" w:hAnsiTheme="minorEastAsia" w:cs="黑体" w:hint="eastAsia"/>
          <w:color w:val="000000"/>
          <w:kern w:val="0"/>
          <w:sz w:val="32"/>
          <w:szCs w:val="32"/>
        </w:rPr>
        <w:t>等</w:t>
      </w:r>
      <w:r w:rsidR="006C6E02">
        <w:rPr>
          <w:rFonts w:asciiTheme="minorEastAsia" w:hAnsiTheme="minorEastAsia" w:cs="黑体" w:hint="eastAsia"/>
          <w:color w:val="000000"/>
          <w:kern w:val="0"/>
          <w:sz w:val="32"/>
          <w:szCs w:val="32"/>
        </w:rPr>
        <w:t>0</w:t>
      </w:r>
      <w:r>
        <w:rPr>
          <w:rFonts w:asciiTheme="minorEastAsia" w:hAnsiTheme="minorEastAsia" w:cs="黑体"/>
          <w:color w:val="000000"/>
          <w:kern w:val="0"/>
          <w:sz w:val="32"/>
          <w:szCs w:val="32"/>
        </w:rPr>
        <w:t xml:space="preserve"> </w:t>
      </w:r>
      <w:r>
        <w:rPr>
          <w:rFonts w:asciiTheme="minorEastAsia" w:hAnsiTheme="minorEastAsia" w:cs="黑体" w:hint="eastAsia"/>
          <w:color w:val="000000"/>
          <w:kern w:val="0"/>
          <w:sz w:val="32"/>
          <w:szCs w:val="32"/>
        </w:rPr>
        <w:t>个政府性基金预算项目支出开展绩效自评，共涉及资金</w:t>
      </w:r>
      <w:r w:rsidR="006C6E02">
        <w:rPr>
          <w:rFonts w:asciiTheme="minorEastAsia" w:hAnsiTheme="minorEastAsia" w:cs="黑体" w:hint="eastAsia"/>
          <w:color w:val="000000"/>
          <w:kern w:val="0"/>
          <w:sz w:val="32"/>
          <w:szCs w:val="32"/>
        </w:rPr>
        <w:t>0</w:t>
      </w:r>
      <w:r>
        <w:rPr>
          <w:rFonts w:asciiTheme="minorEastAsia" w:hAnsiTheme="minorEastAsia" w:cs="黑体"/>
          <w:color w:val="000000"/>
          <w:kern w:val="0"/>
          <w:sz w:val="32"/>
          <w:szCs w:val="32"/>
        </w:rPr>
        <w:t xml:space="preserve"> </w:t>
      </w:r>
      <w:r>
        <w:rPr>
          <w:rFonts w:asciiTheme="minorEastAsia" w:hAnsiTheme="minorEastAsia" w:cs="黑体" w:hint="eastAsia"/>
          <w:color w:val="000000"/>
          <w:kern w:val="0"/>
          <w:sz w:val="32"/>
          <w:szCs w:val="32"/>
        </w:rPr>
        <w:t>万元，占政府性基金预算项目支出总额的</w:t>
      </w:r>
      <w:r w:rsidR="006C6E02">
        <w:rPr>
          <w:rFonts w:asciiTheme="minorEastAsia" w:hAnsiTheme="minorEastAsia" w:cs="黑体" w:hint="eastAsia"/>
          <w:color w:val="000000"/>
          <w:kern w:val="0"/>
          <w:sz w:val="32"/>
          <w:szCs w:val="32"/>
        </w:rPr>
        <w:t>0</w:t>
      </w:r>
      <w:r>
        <w:rPr>
          <w:rFonts w:asciiTheme="minorEastAsia" w:hAnsiTheme="minorEastAsia" w:cs="黑体"/>
          <w:color w:val="000000"/>
          <w:kern w:val="0"/>
          <w:sz w:val="32"/>
          <w:szCs w:val="32"/>
        </w:rPr>
        <w:t>%</w:t>
      </w:r>
      <w:r>
        <w:rPr>
          <w:rFonts w:asciiTheme="minorEastAsia" w:hAnsiTheme="minorEastAsia" w:cs="黑体" w:hint="eastAsia"/>
          <w:color w:val="000000"/>
          <w:kern w:val="0"/>
          <w:sz w:val="32"/>
          <w:szCs w:val="32"/>
        </w:rPr>
        <w:t>。组织对</w:t>
      </w:r>
      <w:r>
        <w:rPr>
          <w:rFonts w:asciiTheme="minorEastAsia" w:hAnsiTheme="minorEastAsia" w:cs="黑体"/>
          <w:color w:val="000000"/>
          <w:kern w:val="0"/>
          <w:sz w:val="32"/>
          <w:szCs w:val="32"/>
        </w:rPr>
        <w:t xml:space="preserve">2021 </w:t>
      </w:r>
      <w:r>
        <w:rPr>
          <w:rFonts w:asciiTheme="minorEastAsia" w:hAnsiTheme="minorEastAsia" w:cs="黑体" w:hint="eastAsia"/>
          <w:color w:val="000000"/>
          <w:kern w:val="0"/>
          <w:sz w:val="32"/>
          <w:szCs w:val="32"/>
        </w:rPr>
        <w:t>年度</w:t>
      </w:r>
      <w:r w:rsidR="006C6E02">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w:t>
      </w:r>
      <w:r w:rsidR="006C6E02">
        <w:rPr>
          <w:rFonts w:asciiTheme="minorEastAsia" w:hAnsiTheme="minorEastAsia" w:cs="黑体" w:hint="eastAsia"/>
          <w:color w:val="000000"/>
          <w:kern w:val="0"/>
          <w:sz w:val="32"/>
          <w:szCs w:val="32"/>
        </w:rPr>
        <w:t>0</w:t>
      </w:r>
      <w:r>
        <w:rPr>
          <w:rFonts w:asciiTheme="minorEastAsia" w:hAnsiTheme="minorEastAsia" w:cs="黑体"/>
          <w:color w:val="000000"/>
          <w:kern w:val="0"/>
          <w:sz w:val="32"/>
          <w:szCs w:val="32"/>
        </w:rPr>
        <w:t xml:space="preserve"> </w:t>
      </w:r>
      <w:r>
        <w:rPr>
          <w:rFonts w:asciiTheme="minorEastAsia" w:hAnsiTheme="minorEastAsia" w:cs="黑体" w:hint="eastAsia"/>
          <w:color w:val="000000"/>
          <w:kern w:val="0"/>
          <w:sz w:val="32"/>
          <w:szCs w:val="32"/>
        </w:rPr>
        <w:t>等</w:t>
      </w:r>
      <w:r w:rsidR="006C6E02">
        <w:rPr>
          <w:rFonts w:asciiTheme="minorEastAsia" w:hAnsiTheme="minorEastAsia" w:cs="黑体" w:hint="eastAsia"/>
          <w:color w:val="000000"/>
          <w:kern w:val="0"/>
          <w:sz w:val="32"/>
          <w:szCs w:val="32"/>
        </w:rPr>
        <w:t>0</w:t>
      </w:r>
      <w:r>
        <w:rPr>
          <w:rFonts w:asciiTheme="minorEastAsia" w:hAnsiTheme="minorEastAsia" w:cs="黑体"/>
          <w:color w:val="000000"/>
          <w:kern w:val="0"/>
          <w:sz w:val="32"/>
          <w:szCs w:val="32"/>
        </w:rPr>
        <w:t xml:space="preserve"> </w:t>
      </w:r>
      <w:r>
        <w:rPr>
          <w:rFonts w:asciiTheme="minorEastAsia" w:hAnsiTheme="minorEastAsia" w:cs="黑体" w:hint="eastAsia"/>
          <w:color w:val="000000"/>
          <w:kern w:val="0"/>
          <w:sz w:val="32"/>
          <w:szCs w:val="32"/>
        </w:rPr>
        <w:t>个国有资本经营预算项目支出开展绩效自评，共涉及资金</w:t>
      </w:r>
      <w:r>
        <w:rPr>
          <w:rFonts w:asciiTheme="minorEastAsia" w:hAnsiTheme="minorEastAsia" w:cs="黑体"/>
          <w:color w:val="000000"/>
          <w:kern w:val="0"/>
          <w:sz w:val="32"/>
          <w:szCs w:val="32"/>
        </w:rPr>
        <w:t xml:space="preserve">XX </w:t>
      </w:r>
      <w:r>
        <w:rPr>
          <w:rFonts w:asciiTheme="minorEastAsia" w:hAnsiTheme="minorEastAsia" w:cs="黑体" w:hint="eastAsia"/>
          <w:color w:val="000000"/>
          <w:kern w:val="0"/>
          <w:sz w:val="32"/>
          <w:szCs w:val="32"/>
        </w:rPr>
        <w:t>万元，占国有资本经营预算项目支出总额的</w:t>
      </w:r>
      <w:r w:rsidR="006C6E02">
        <w:rPr>
          <w:rFonts w:asciiTheme="minorEastAsia" w:hAnsiTheme="minorEastAsia" w:cs="黑体" w:hint="eastAsia"/>
          <w:color w:val="000000"/>
          <w:kern w:val="0"/>
          <w:sz w:val="32"/>
          <w:szCs w:val="32"/>
        </w:rPr>
        <w:t>0</w:t>
      </w:r>
      <w:r>
        <w:rPr>
          <w:rFonts w:asciiTheme="minorEastAsia" w:hAnsiTheme="minorEastAsia" w:cs="黑体"/>
          <w:color w:val="000000"/>
          <w:kern w:val="0"/>
          <w:sz w:val="32"/>
          <w:szCs w:val="32"/>
        </w:rPr>
        <w:t>%</w:t>
      </w:r>
      <w:r>
        <w:rPr>
          <w:rFonts w:asciiTheme="minorEastAsia" w:hAnsiTheme="minorEastAsia" w:cs="黑体" w:hint="eastAsia"/>
          <w:color w:val="000000"/>
          <w:kern w:val="0"/>
          <w:sz w:val="32"/>
          <w:szCs w:val="32"/>
        </w:rPr>
        <w:t>。</w:t>
      </w:r>
    </w:p>
    <w:p w:rsidR="003B2E49" w:rsidRDefault="00A5413E">
      <w:pPr>
        <w:autoSpaceDE w:val="0"/>
        <w:autoSpaceDN w:val="0"/>
        <w:adjustRightInd w:val="0"/>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组织对“</w:t>
      </w:r>
      <w:r w:rsidR="006C6E02">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w:t>
      </w:r>
      <w:r w:rsidR="006C6E02">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”等</w:t>
      </w:r>
      <w:r w:rsidR="006C6E02">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个项目开展了部门评价，涉及一般公共预算支出</w:t>
      </w:r>
      <w:r w:rsidR="006C6E02">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万元，政府性基金预算支出</w:t>
      </w:r>
      <w:r w:rsidR="006C6E02">
        <w:rPr>
          <w:rFonts w:asciiTheme="minorEastAsia" w:hAnsiTheme="minorEastAsia" w:cs="黑体" w:hint="eastAsia"/>
          <w:color w:val="000000"/>
          <w:kern w:val="0"/>
          <w:sz w:val="32"/>
          <w:szCs w:val="32"/>
        </w:rPr>
        <w:t>0</w:t>
      </w:r>
      <w:r>
        <w:rPr>
          <w:rFonts w:asciiTheme="minorEastAsia" w:hAnsiTheme="minorEastAsia" w:cs="黑体"/>
          <w:color w:val="000000"/>
          <w:kern w:val="0"/>
          <w:sz w:val="32"/>
          <w:szCs w:val="32"/>
        </w:rPr>
        <w:t xml:space="preserve"> </w:t>
      </w:r>
      <w:r>
        <w:rPr>
          <w:rFonts w:asciiTheme="minorEastAsia" w:hAnsiTheme="minorEastAsia" w:cs="黑体" w:hint="eastAsia"/>
          <w:color w:val="000000"/>
          <w:kern w:val="0"/>
          <w:sz w:val="32"/>
          <w:szCs w:val="32"/>
        </w:rPr>
        <w:t>万元，国有资本经营预算支出</w:t>
      </w:r>
      <w:r w:rsidR="006C6E02">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w:t>
      </w:r>
    </w:p>
    <w:p w:rsidR="003B2E49" w:rsidRDefault="00A5413E">
      <w:pPr>
        <w:autoSpaceDE w:val="0"/>
        <w:autoSpaceDN w:val="0"/>
        <w:adjustRightInd w:val="0"/>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组织对“</w:t>
      </w:r>
      <w:r w:rsidR="006C6E02">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w:t>
      </w:r>
      <w:r w:rsidR="006C6E02">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”等</w:t>
      </w:r>
      <w:r w:rsidR="006C6E02">
        <w:rPr>
          <w:rFonts w:asciiTheme="minorEastAsia" w:hAnsiTheme="minorEastAsia" w:cs="黑体" w:hint="eastAsia"/>
          <w:color w:val="000000"/>
          <w:kern w:val="0"/>
          <w:sz w:val="32"/>
          <w:szCs w:val="32"/>
        </w:rPr>
        <w:t>0</w:t>
      </w:r>
      <w:r>
        <w:rPr>
          <w:rFonts w:asciiTheme="minorEastAsia" w:hAnsiTheme="minorEastAsia" w:cs="黑体"/>
          <w:color w:val="000000"/>
          <w:kern w:val="0"/>
          <w:sz w:val="32"/>
          <w:szCs w:val="32"/>
        </w:rPr>
        <w:t xml:space="preserve"> </w:t>
      </w:r>
      <w:r>
        <w:rPr>
          <w:rFonts w:asciiTheme="minorEastAsia" w:hAnsiTheme="minorEastAsia" w:cs="黑体" w:hint="eastAsia"/>
          <w:color w:val="000000"/>
          <w:kern w:val="0"/>
          <w:sz w:val="32"/>
          <w:szCs w:val="32"/>
        </w:rPr>
        <w:t>个单位开展整体支出绩效评价，涉及一般公共预算支出</w:t>
      </w:r>
      <w:r w:rsidR="006C6E02">
        <w:rPr>
          <w:rFonts w:asciiTheme="minorEastAsia" w:hAnsiTheme="minorEastAsia" w:cs="黑体" w:hint="eastAsia"/>
          <w:color w:val="000000"/>
          <w:kern w:val="0"/>
          <w:sz w:val="32"/>
          <w:szCs w:val="32"/>
        </w:rPr>
        <w:t>0</w:t>
      </w:r>
      <w:r>
        <w:rPr>
          <w:rFonts w:asciiTheme="minorEastAsia" w:hAnsiTheme="minorEastAsia" w:cs="黑体"/>
          <w:color w:val="000000"/>
          <w:kern w:val="0"/>
          <w:sz w:val="32"/>
          <w:szCs w:val="32"/>
        </w:rPr>
        <w:t xml:space="preserve"> </w:t>
      </w:r>
      <w:r>
        <w:rPr>
          <w:rFonts w:asciiTheme="minorEastAsia" w:hAnsiTheme="minorEastAsia" w:cs="黑体" w:hint="eastAsia"/>
          <w:color w:val="000000"/>
          <w:kern w:val="0"/>
          <w:sz w:val="32"/>
          <w:szCs w:val="32"/>
        </w:rPr>
        <w:t>万元，政府性基金预算支出</w:t>
      </w:r>
      <w:r w:rsidR="006C6E02">
        <w:rPr>
          <w:rFonts w:asciiTheme="minorEastAsia" w:hAnsiTheme="minorEastAsia" w:cs="黑体" w:hint="eastAsia"/>
          <w:color w:val="000000"/>
          <w:kern w:val="0"/>
          <w:sz w:val="32"/>
          <w:szCs w:val="32"/>
        </w:rPr>
        <w:t>0</w:t>
      </w:r>
      <w:r>
        <w:rPr>
          <w:rFonts w:asciiTheme="minorEastAsia" w:hAnsiTheme="minorEastAsia" w:cs="黑体"/>
          <w:color w:val="000000"/>
          <w:kern w:val="0"/>
          <w:sz w:val="32"/>
          <w:szCs w:val="32"/>
        </w:rPr>
        <w:t xml:space="preserve"> </w:t>
      </w:r>
      <w:r w:rsidR="007B0AAB">
        <w:rPr>
          <w:rFonts w:asciiTheme="minorEastAsia" w:hAnsiTheme="minorEastAsia" w:cs="黑体" w:hint="eastAsia"/>
          <w:color w:val="000000"/>
          <w:kern w:val="0"/>
          <w:sz w:val="32"/>
          <w:szCs w:val="32"/>
        </w:rPr>
        <w:t>万元</w:t>
      </w:r>
      <w:r>
        <w:rPr>
          <w:rFonts w:asciiTheme="minorEastAsia" w:hAnsiTheme="minorEastAsia" w:cs="黑体" w:hint="eastAsia"/>
          <w:color w:val="000000"/>
          <w:kern w:val="0"/>
          <w:sz w:val="32"/>
          <w:szCs w:val="32"/>
        </w:rPr>
        <w:t>。</w:t>
      </w:r>
    </w:p>
    <w:p w:rsidR="003B2E49" w:rsidRDefault="00A5413E" w:rsidP="00EA75C5">
      <w:pPr>
        <w:autoSpaceDE w:val="0"/>
        <w:autoSpaceDN w:val="0"/>
        <w:adjustRightInd w:val="0"/>
        <w:ind w:firstLineChars="200" w:firstLine="643"/>
        <w:jc w:val="left"/>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（2）部门决算中项目绩效自评结果（如有）。</w:t>
      </w:r>
    </w:p>
    <w:p w:rsidR="003B2E49" w:rsidRDefault="007B0AAB">
      <w:pPr>
        <w:autoSpaceDE w:val="0"/>
        <w:autoSpaceDN w:val="0"/>
        <w:adjustRightInd w:val="0"/>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0</w:t>
      </w:r>
      <w:r w:rsidR="00A5413E">
        <w:rPr>
          <w:rFonts w:asciiTheme="minorEastAsia" w:hAnsiTheme="minorEastAsia" w:cs="黑体" w:hint="eastAsia"/>
          <w:color w:val="000000"/>
          <w:kern w:val="0"/>
          <w:sz w:val="32"/>
          <w:szCs w:val="32"/>
        </w:rPr>
        <w:t>项目绩效自评综述：根据年初设定的绩效目标，项目绩效自评得分为</w:t>
      </w:r>
      <w:r>
        <w:rPr>
          <w:rFonts w:asciiTheme="minorEastAsia" w:hAnsiTheme="minorEastAsia" w:cs="黑体" w:hint="eastAsia"/>
          <w:color w:val="000000"/>
          <w:kern w:val="0"/>
          <w:sz w:val="32"/>
          <w:szCs w:val="32"/>
        </w:rPr>
        <w:t>0</w:t>
      </w:r>
      <w:r w:rsidR="00A5413E">
        <w:rPr>
          <w:rFonts w:asciiTheme="minorEastAsia" w:hAnsiTheme="minorEastAsia" w:cs="黑体" w:hint="eastAsia"/>
          <w:color w:val="000000"/>
          <w:kern w:val="0"/>
          <w:sz w:val="32"/>
          <w:szCs w:val="32"/>
        </w:rPr>
        <w:t>分。项目全年预算数为</w:t>
      </w:r>
      <w:r>
        <w:rPr>
          <w:rFonts w:asciiTheme="minorEastAsia" w:hAnsiTheme="minorEastAsia" w:cs="黑体" w:hint="eastAsia"/>
          <w:color w:val="000000"/>
          <w:kern w:val="0"/>
          <w:sz w:val="32"/>
          <w:szCs w:val="32"/>
        </w:rPr>
        <w:t>0</w:t>
      </w:r>
      <w:r w:rsidR="00A5413E">
        <w:rPr>
          <w:rFonts w:asciiTheme="minorEastAsia" w:hAnsiTheme="minorEastAsia" w:cs="黑体" w:hint="eastAsia"/>
          <w:color w:val="000000"/>
          <w:kern w:val="0"/>
          <w:sz w:val="32"/>
          <w:szCs w:val="32"/>
        </w:rPr>
        <w:t>万元，执行数为</w:t>
      </w:r>
      <w:r>
        <w:rPr>
          <w:rFonts w:asciiTheme="minorEastAsia" w:hAnsiTheme="minorEastAsia" w:cs="黑体" w:hint="eastAsia"/>
          <w:color w:val="000000"/>
          <w:kern w:val="0"/>
          <w:sz w:val="32"/>
          <w:szCs w:val="32"/>
        </w:rPr>
        <w:t>0</w:t>
      </w:r>
      <w:r w:rsidR="00A5413E">
        <w:rPr>
          <w:rFonts w:asciiTheme="minorEastAsia" w:hAnsiTheme="minorEastAsia" w:cs="黑体"/>
          <w:color w:val="000000"/>
          <w:kern w:val="0"/>
          <w:sz w:val="32"/>
          <w:szCs w:val="32"/>
        </w:rPr>
        <w:t xml:space="preserve"> </w:t>
      </w:r>
      <w:r w:rsidR="00A5413E">
        <w:rPr>
          <w:rFonts w:asciiTheme="minorEastAsia" w:hAnsiTheme="minorEastAsia" w:cs="黑体" w:hint="eastAsia"/>
          <w:color w:val="000000"/>
          <w:kern w:val="0"/>
          <w:sz w:val="32"/>
          <w:szCs w:val="32"/>
        </w:rPr>
        <w:t>万元，完成预算的</w:t>
      </w:r>
      <w:r>
        <w:rPr>
          <w:rFonts w:asciiTheme="minorEastAsia" w:hAnsiTheme="minorEastAsia" w:cs="黑体" w:hint="eastAsia"/>
          <w:color w:val="000000"/>
          <w:kern w:val="0"/>
          <w:sz w:val="32"/>
          <w:szCs w:val="32"/>
        </w:rPr>
        <w:t>0</w:t>
      </w:r>
      <w:r w:rsidR="00A5413E">
        <w:rPr>
          <w:rFonts w:asciiTheme="minorEastAsia" w:hAnsiTheme="minorEastAsia" w:cs="黑体"/>
          <w:color w:val="000000"/>
          <w:kern w:val="0"/>
          <w:sz w:val="32"/>
          <w:szCs w:val="32"/>
        </w:rPr>
        <w:t>%</w:t>
      </w:r>
      <w:r w:rsidR="00A5413E">
        <w:rPr>
          <w:rFonts w:asciiTheme="minorEastAsia" w:hAnsiTheme="minorEastAsia" w:cs="黑体" w:hint="eastAsia"/>
          <w:color w:val="000000"/>
          <w:kern w:val="0"/>
          <w:sz w:val="32"/>
          <w:szCs w:val="32"/>
        </w:rPr>
        <w:t>。项目绩效目标完成情况：一是</w:t>
      </w:r>
      <w:r>
        <w:rPr>
          <w:rFonts w:asciiTheme="minorEastAsia" w:hAnsiTheme="minorEastAsia" w:cs="黑体" w:hint="eastAsia"/>
          <w:color w:val="000000"/>
          <w:kern w:val="0"/>
          <w:sz w:val="32"/>
          <w:szCs w:val="32"/>
        </w:rPr>
        <w:t>0</w:t>
      </w:r>
      <w:r w:rsidR="00A5413E">
        <w:rPr>
          <w:rFonts w:asciiTheme="minorEastAsia" w:hAnsiTheme="minorEastAsia" w:cs="黑体" w:hint="eastAsia"/>
          <w:color w:val="000000"/>
          <w:kern w:val="0"/>
          <w:sz w:val="32"/>
          <w:szCs w:val="32"/>
        </w:rPr>
        <w:t>；二是</w:t>
      </w:r>
      <w:r>
        <w:rPr>
          <w:rFonts w:asciiTheme="minorEastAsia" w:hAnsiTheme="minorEastAsia" w:cs="黑体" w:hint="eastAsia"/>
          <w:color w:val="000000"/>
          <w:kern w:val="0"/>
          <w:sz w:val="32"/>
          <w:szCs w:val="32"/>
        </w:rPr>
        <w:t>0</w:t>
      </w:r>
      <w:r w:rsidR="00A5413E">
        <w:rPr>
          <w:rFonts w:asciiTheme="minorEastAsia" w:hAnsiTheme="minorEastAsia" w:cs="黑体" w:hint="eastAsia"/>
          <w:color w:val="000000"/>
          <w:kern w:val="0"/>
          <w:sz w:val="32"/>
          <w:szCs w:val="32"/>
        </w:rPr>
        <w:t>。发现的主要问题及原因：一是</w:t>
      </w:r>
      <w:r w:rsidR="00E24DA4">
        <w:rPr>
          <w:rFonts w:asciiTheme="minorEastAsia" w:hAnsiTheme="minorEastAsia" w:cs="黑体" w:hint="eastAsia"/>
          <w:color w:val="000000"/>
          <w:kern w:val="0"/>
          <w:sz w:val="32"/>
          <w:szCs w:val="32"/>
        </w:rPr>
        <w:t>0</w:t>
      </w:r>
      <w:r w:rsidR="00A5413E">
        <w:rPr>
          <w:rFonts w:asciiTheme="minorEastAsia" w:hAnsiTheme="minorEastAsia" w:cs="黑体" w:hint="eastAsia"/>
          <w:color w:val="000000"/>
          <w:kern w:val="0"/>
          <w:sz w:val="32"/>
          <w:szCs w:val="32"/>
        </w:rPr>
        <w:t>；二是</w:t>
      </w:r>
      <w:r w:rsidR="00E24DA4">
        <w:rPr>
          <w:rFonts w:asciiTheme="minorEastAsia" w:hAnsiTheme="minorEastAsia" w:cs="黑体" w:hint="eastAsia"/>
          <w:color w:val="000000"/>
          <w:kern w:val="0"/>
          <w:sz w:val="32"/>
          <w:szCs w:val="32"/>
        </w:rPr>
        <w:t>0</w:t>
      </w:r>
      <w:r w:rsidR="00A5413E">
        <w:rPr>
          <w:rFonts w:asciiTheme="minorEastAsia" w:hAnsiTheme="minorEastAsia" w:cs="黑体" w:hint="eastAsia"/>
          <w:color w:val="000000"/>
          <w:kern w:val="0"/>
          <w:sz w:val="32"/>
          <w:szCs w:val="32"/>
        </w:rPr>
        <w:t>。下一步改进措施：一是</w:t>
      </w:r>
      <w:r w:rsidR="00E24DA4">
        <w:rPr>
          <w:rFonts w:asciiTheme="minorEastAsia" w:hAnsiTheme="minorEastAsia" w:cs="黑体" w:hint="eastAsia"/>
          <w:color w:val="000000"/>
          <w:kern w:val="0"/>
          <w:sz w:val="32"/>
          <w:szCs w:val="32"/>
        </w:rPr>
        <w:t>0</w:t>
      </w:r>
      <w:r w:rsidR="00A5413E">
        <w:rPr>
          <w:rFonts w:asciiTheme="minorEastAsia" w:hAnsiTheme="minorEastAsia" w:cs="黑体" w:hint="eastAsia"/>
          <w:color w:val="000000"/>
          <w:kern w:val="0"/>
          <w:sz w:val="32"/>
          <w:szCs w:val="32"/>
        </w:rPr>
        <w:t>；二是</w:t>
      </w:r>
      <w:r w:rsidR="00E24DA4">
        <w:rPr>
          <w:rFonts w:asciiTheme="minorEastAsia" w:hAnsiTheme="minorEastAsia" w:cs="黑体" w:hint="eastAsia"/>
          <w:color w:val="000000"/>
          <w:kern w:val="0"/>
          <w:sz w:val="32"/>
          <w:szCs w:val="32"/>
        </w:rPr>
        <w:t>0</w:t>
      </w:r>
      <w:r w:rsidR="00A5413E">
        <w:rPr>
          <w:rFonts w:asciiTheme="minorEastAsia" w:hAnsiTheme="minorEastAsia" w:cs="黑体" w:hint="eastAsia"/>
          <w:color w:val="000000"/>
          <w:kern w:val="0"/>
          <w:sz w:val="32"/>
          <w:szCs w:val="32"/>
        </w:rPr>
        <w:t>。</w:t>
      </w:r>
    </w:p>
    <w:p w:rsidR="003B2E49" w:rsidRDefault="00A5413E" w:rsidP="00EA75C5">
      <w:pPr>
        <w:autoSpaceDE w:val="0"/>
        <w:autoSpaceDN w:val="0"/>
        <w:adjustRightInd w:val="0"/>
        <w:ind w:firstLineChars="200" w:firstLine="643"/>
        <w:jc w:val="left"/>
        <w:rPr>
          <w:rFonts w:asciiTheme="minorEastAsia" w:hAnsiTheme="minorEastAsia" w:cs="黑体"/>
          <w:color w:val="000000"/>
          <w:kern w:val="0"/>
          <w:sz w:val="32"/>
          <w:szCs w:val="32"/>
        </w:rPr>
      </w:pPr>
      <w:r>
        <w:rPr>
          <w:rFonts w:asciiTheme="minorEastAsia" w:hAnsiTheme="minorEastAsia" w:cs="黑体" w:hint="eastAsia"/>
          <w:b/>
          <w:color w:val="000000"/>
          <w:kern w:val="0"/>
          <w:sz w:val="32"/>
          <w:szCs w:val="32"/>
        </w:rPr>
        <w:lastRenderedPageBreak/>
        <w:t>（</w:t>
      </w:r>
      <w:r>
        <w:rPr>
          <w:rFonts w:asciiTheme="minorEastAsia" w:hAnsiTheme="minorEastAsia" w:cs="黑体"/>
          <w:b/>
          <w:color w:val="000000"/>
          <w:kern w:val="0"/>
          <w:sz w:val="32"/>
          <w:szCs w:val="32"/>
        </w:rPr>
        <w:t>3</w:t>
      </w:r>
      <w:r>
        <w:rPr>
          <w:rFonts w:asciiTheme="minorEastAsia" w:hAnsiTheme="minorEastAsia" w:cs="黑体" w:hint="eastAsia"/>
          <w:b/>
          <w:color w:val="000000"/>
          <w:kern w:val="0"/>
          <w:sz w:val="32"/>
          <w:szCs w:val="32"/>
        </w:rPr>
        <w:t>）部门评价项目绩效评价结果。</w:t>
      </w:r>
    </w:p>
    <w:p w:rsidR="003B2E49" w:rsidRDefault="00A5413E">
      <w:pPr>
        <w:autoSpaceDE w:val="0"/>
        <w:autoSpaceDN w:val="0"/>
        <w:adjustRightInd w:val="0"/>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部门评价项目数量</w:t>
      </w:r>
      <w:r>
        <w:rPr>
          <w:rFonts w:asciiTheme="minorEastAsia" w:hAnsiTheme="minorEastAsia" w:cs="黑体"/>
          <w:color w:val="000000"/>
          <w:kern w:val="0"/>
          <w:sz w:val="32"/>
          <w:szCs w:val="32"/>
        </w:rPr>
        <w:t>3</w:t>
      </w:r>
      <w:r>
        <w:rPr>
          <w:rFonts w:asciiTheme="minorEastAsia" w:hAnsiTheme="minorEastAsia" w:cs="黑体" w:hint="eastAsia"/>
          <w:color w:val="000000"/>
          <w:kern w:val="0"/>
          <w:sz w:val="32"/>
          <w:szCs w:val="32"/>
        </w:rPr>
        <w:t>个以内的，至少将</w:t>
      </w:r>
      <w:r>
        <w:rPr>
          <w:rFonts w:asciiTheme="minorEastAsia" w:hAnsiTheme="minorEastAsia" w:cs="黑体"/>
          <w:color w:val="000000"/>
          <w:kern w:val="0"/>
          <w:sz w:val="32"/>
          <w:szCs w:val="32"/>
        </w:rPr>
        <w:t xml:space="preserve">1 </w:t>
      </w:r>
      <w:r>
        <w:rPr>
          <w:rFonts w:asciiTheme="minorEastAsia" w:hAnsiTheme="minorEastAsia" w:cs="黑体" w:hint="eastAsia"/>
          <w:color w:val="000000"/>
          <w:kern w:val="0"/>
          <w:sz w:val="32"/>
          <w:szCs w:val="32"/>
        </w:rPr>
        <w:t>个部门评价报告向社会公开；部门评价项目数量大于</w:t>
      </w:r>
      <w:r>
        <w:rPr>
          <w:rFonts w:asciiTheme="minorEastAsia" w:hAnsiTheme="minorEastAsia" w:cs="黑体"/>
          <w:color w:val="000000"/>
          <w:kern w:val="0"/>
          <w:sz w:val="32"/>
          <w:szCs w:val="32"/>
        </w:rPr>
        <w:t xml:space="preserve">3 </w:t>
      </w:r>
      <w:r>
        <w:rPr>
          <w:rFonts w:asciiTheme="minorEastAsia" w:hAnsiTheme="minorEastAsia" w:cs="黑体" w:hint="eastAsia"/>
          <w:color w:val="000000"/>
          <w:kern w:val="0"/>
          <w:sz w:val="32"/>
          <w:szCs w:val="32"/>
        </w:rPr>
        <w:t>个的，至少将</w:t>
      </w:r>
      <w:r>
        <w:rPr>
          <w:rFonts w:asciiTheme="minorEastAsia" w:hAnsiTheme="minorEastAsia" w:cs="黑体"/>
          <w:color w:val="000000"/>
          <w:kern w:val="0"/>
          <w:sz w:val="32"/>
          <w:szCs w:val="32"/>
        </w:rPr>
        <w:t xml:space="preserve">2 </w:t>
      </w:r>
      <w:r>
        <w:rPr>
          <w:rFonts w:asciiTheme="minorEastAsia" w:hAnsiTheme="minorEastAsia" w:cs="黑体" w:hint="eastAsia"/>
          <w:color w:val="000000"/>
          <w:kern w:val="0"/>
          <w:sz w:val="32"/>
          <w:szCs w:val="32"/>
        </w:rPr>
        <w:t>个部门评价报告向社会公开。报告框架可参考《项目支出绩效评价办法》（财预〔</w:t>
      </w:r>
      <w:r>
        <w:rPr>
          <w:rFonts w:asciiTheme="minorEastAsia" w:hAnsiTheme="minorEastAsia" w:cs="黑体"/>
          <w:color w:val="000000"/>
          <w:kern w:val="0"/>
          <w:sz w:val="32"/>
          <w:szCs w:val="32"/>
        </w:rPr>
        <w:t>2020</w:t>
      </w:r>
      <w:r>
        <w:rPr>
          <w:rFonts w:asciiTheme="minorEastAsia" w:hAnsiTheme="minorEastAsia" w:cs="黑体" w:hint="eastAsia"/>
          <w:color w:val="000000"/>
          <w:kern w:val="0"/>
          <w:sz w:val="32"/>
          <w:szCs w:val="32"/>
        </w:rPr>
        <w:t>〕</w:t>
      </w:r>
      <w:r>
        <w:rPr>
          <w:rFonts w:asciiTheme="minorEastAsia" w:hAnsiTheme="minorEastAsia" w:cs="黑体"/>
          <w:color w:val="000000"/>
          <w:kern w:val="0"/>
          <w:sz w:val="32"/>
          <w:szCs w:val="32"/>
        </w:rPr>
        <w:t xml:space="preserve">10 </w:t>
      </w:r>
      <w:r>
        <w:rPr>
          <w:rFonts w:asciiTheme="minorEastAsia" w:hAnsiTheme="minorEastAsia" w:cs="黑体" w:hint="eastAsia"/>
          <w:color w:val="000000"/>
          <w:kern w:val="0"/>
          <w:sz w:val="32"/>
          <w:szCs w:val="32"/>
        </w:rPr>
        <w:t>号）中《项目支出绩效评价报告（参考提纲）》、《湖南省预算支出绩效评价管理办法》（湘财绩〔</w:t>
      </w:r>
      <w:r>
        <w:rPr>
          <w:rFonts w:asciiTheme="minorEastAsia" w:hAnsiTheme="minorEastAsia" w:cs="黑体"/>
          <w:color w:val="000000"/>
          <w:kern w:val="0"/>
          <w:sz w:val="32"/>
          <w:szCs w:val="32"/>
        </w:rPr>
        <w:t>2020</w:t>
      </w:r>
      <w:r>
        <w:rPr>
          <w:rFonts w:asciiTheme="minorEastAsia" w:hAnsiTheme="minorEastAsia" w:cs="黑体" w:hint="eastAsia"/>
          <w:color w:val="000000"/>
          <w:kern w:val="0"/>
          <w:sz w:val="32"/>
          <w:szCs w:val="32"/>
        </w:rPr>
        <w:t>〕7号）。</w:t>
      </w: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rPr>
          <w:sz w:val="72"/>
          <w:szCs w:val="72"/>
        </w:rPr>
      </w:pPr>
    </w:p>
    <w:p w:rsidR="003B2E49" w:rsidRDefault="003B2E49">
      <w:pPr>
        <w:pStyle w:val="Default"/>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A5413E">
      <w:pPr>
        <w:pStyle w:val="Default"/>
        <w:jc w:val="center"/>
        <w:rPr>
          <w:sz w:val="72"/>
          <w:szCs w:val="72"/>
        </w:rPr>
      </w:pPr>
      <w:r>
        <w:rPr>
          <w:rFonts w:hint="eastAsia"/>
          <w:sz w:val="72"/>
          <w:szCs w:val="72"/>
        </w:rPr>
        <w:t>第四部分</w:t>
      </w:r>
    </w:p>
    <w:p w:rsidR="003B2E49" w:rsidRDefault="003B2E49">
      <w:pPr>
        <w:jc w:val="center"/>
        <w:rPr>
          <w:rFonts w:ascii="黑体" w:eastAsia="黑体" w:cs="黑体"/>
          <w:color w:val="000000"/>
          <w:kern w:val="0"/>
          <w:sz w:val="70"/>
          <w:szCs w:val="70"/>
        </w:rPr>
      </w:pPr>
    </w:p>
    <w:p w:rsidR="003B2E49" w:rsidRDefault="00A5413E">
      <w:pPr>
        <w:jc w:val="center"/>
        <w:rPr>
          <w:rFonts w:ascii="黑体" w:eastAsia="黑体" w:cs="黑体"/>
          <w:color w:val="000000"/>
          <w:kern w:val="0"/>
          <w:sz w:val="70"/>
          <w:szCs w:val="70"/>
        </w:rPr>
      </w:pPr>
      <w:r>
        <w:rPr>
          <w:rFonts w:ascii="黑体" w:eastAsia="黑体" w:cs="黑体" w:hint="eastAsia"/>
          <w:color w:val="000000"/>
          <w:kern w:val="0"/>
          <w:sz w:val="70"/>
          <w:szCs w:val="70"/>
        </w:rPr>
        <w:lastRenderedPageBreak/>
        <w:t>名词解释</w:t>
      </w:r>
    </w:p>
    <w:p w:rsidR="003B2E49" w:rsidRDefault="00A5413E">
      <w:pPr>
        <w:shd w:val="clear" w:color="auto" w:fill="FFFFFF"/>
        <w:spacing w:line="560" w:lineRule="exact"/>
        <w:ind w:firstLine="641"/>
        <w:rPr>
          <w:rFonts w:ascii="仿宋_GB2312" w:eastAsia="仿宋_GB2312" w:hAnsi="仿宋_GB2312" w:cs="仿宋_GB2312"/>
          <w:color w:val="000000"/>
          <w:kern w:val="0"/>
          <w:sz w:val="32"/>
          <w:szCs w:val="32"/>
        </w:rPr>
      </w:pPr>
      <w:r>
        <w:rPr>
          <w:rFonts w:ascii="黑体" w:eastAsia="黑体" w:cs="黑体"/>
          <w:color w:val="000000"/>
          <w:kern w:val="0"/>
          <w:sz w:val="70"/>
          <w:szCs w:val="70"/>
        </w:rPr>
        <w:br w:type="page"/>
      </w:r>
      <w:r>
        <w:rPr>
          <w:rFonts w:ascii="仿宋_GB2312" w:eastAsia="仿宋_GB2312" w:hAnsi="仿宋_GB2312" w:cs="仿宋_GB2312" w:hint="eastAsia"/>
          <w:color w:val="000000"/>
          <w:kern w:val="0"/>
          <w:sz w:val="32"/>
          <w:szCs w:val="32"/>
        </w:rPr>
        <w:lastRenderedPageBreak/>
        <w:t>一、财政拨款收入指财政当年拨付的资金。</w:t>
      </w:r>
    </w:p>
    <w:p w:rsidR="003B2E49" w:rsidRDefault="00A5413E">
      <w:pPr>
        <w:shd w:val="clear" w:color="auto" w:fill="FFFFFF"/>
        <w:spacing w:line="560" w:lineRule="exact"/>
        <w:ind w:firstLine="64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二、事业收入指事业单位开展专业业务活动及辅助活动所取得的收入。</w:t>
      </w:r>
    </w:p>
    <w:p w:rsidR="003B2E49" w:rsidRDefault="00A5413E">
      <w:pPr>
        <w:shd w:val="clear" w:color="auto" w:fill="FFFFFF"/>
        <w:spacing w:line="560" w:lineRule="exact"/>
        <w:ind w:firstLine="64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三、经营收入指事业单位在专业业务活动及其辅助活动之外开展非独立核算经营活动取得的收入。</w:t>
      </w:r>
    </w:p>
    <w:p w:rsidR="003B2E49" w:rsidRDefault="00A5413E">
      <w:pPr>
        <w:shd w:val="clear" w:color="auto" w:fill="FFFFFF"/>
        <w:spacing w:line="560" w:lineRule="exact"/>
        <w:ind w:firstLine="64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四、其他收入指除上述“财政拨款收入”，“事业收入”、“经营收入”等以外的收入。主要是利息收入等。</w:t>
      </w:r>
    </w:p>
    <w:p w:rsidR="003B2E49" w:rsidRDefault="00A5413E">
      <w:pPr>
        <w:shd w:val="clear" w:color="auto" w:fill="FFFFFF"/>
        <w:spacing w:line="560" w:lineRule="exact"/>
        <w:ind w:firstLine="64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3B2E49" w:rsidRDefault="00A5413E">
      <w:pPr>
        <w:shd w:val="clear" w:color="auto" w:fill="FFFFFF"/>
        <w:spacing w:line="560" w:lineRule="exact"/>
        <w:ind w:firstLine="64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六、年初结转和结余指以前年度尚未完成、结转到本年按有关规定继续使用的资金。</w:t>
      </w:r>
    </w:p>
    <w:p w:rsidR="003B2E49" w:rsidRDefault="00A5413E">
      <w:pPr>
        <w:shd w:val="clear" w:color="auto" w:fill="FFFFFF"/>
        <w:spacing w:line="560" w:lineRule="exact"/>
        <w:ind w:firstLine="64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七、结余分配指事业单位按规定提取的职工福利基金、事业基金和缴纳的所得税。</w:t>
      </w:r>
    </w:p>
    <w:p w:rsidR="003B2E49" w:rsidRDefault="00A5413E">
      <w:pPr>
        <w:shd w:val="clear" w:color="auto" w:fill="FFFFFF"/>
        <w:spacing w:line="560" w:lineRule="exact"/>
        <w:ind w:firstLine="64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八、年末结转和结余指本年度或以前年度预算安排、因客观条件发生变化无法按原计划实施，需延迟到以后年度按有关规定继续使用的资金。</w:t>
      </w:r>
    </w:p>
    <w:p w:rsidR="003B2E49" w:rsidRDefault="00A5413E">
      <w:pPr>
        <w:shd w:val="clear" w:color="auto" w:fill="FFFFFF"/>
        <w:spacing w:line="560" w:lineRule="exact"/>
        <w:ind w:firstLine="64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九、基本支出指为保障机构正常运转、完成日常工作任务而发生的人员支出和公用支出。</w:t>
      </w:r>
    </w:p>
    <w:p w:rsidR="003B2E49" w:rsidRDefault="00A5413E">
      <w:pPr>
        <w:shd w:val="clear" w:color="auto" w:fill="FFFFFF"/>
        <w:spacing w:line="560" w:lineRule="exact"/>
        <w:ind w:firstLine="64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十、项目支出指在基本支出之外为完成特定行政任务和事业发展目标所发生的支出。</w:t>
      </w:r>
    </w:p>
    <w:p w:rsidR="003B2E49" w:rsidRDefault="00A5413E">
      <w:pPr>
        <w:shd w:val="clear" w:color="auto" w:fill="FFFFFF"/>
        <w:spacing w:line="560" w:lineRule="exact"/>
        <w:ind w:firstLine="64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十一、经营支出指事业单位在专业业务活动及其辅助活动之外开展非独立核算经营活动发生的支出。</w:t>
      </w:r>
    </w:p>
    <w:p w:rsidR="003B2E49" w:rsidRDefault="00A5413E">
      <w:pPr>
        <w:shd w:val="clear" w:color="auto" w:fill="FFFFFF"/>
        <w:spacing w:line="560" w:lineRule="exact"/>
        <w:ind w:firstLine="64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十二、“三公”经费：纳入财政预决算管理的“三公”经费，是指用财政拨款安排的因公出国(境)费、公务用车购置及运行费和公务接待费。其中，公务接待费反映单位按规定开支的各类公务接待支出；公务用车购置及运行费反映单位公务用车车辆购置支出（含车辆购置税），以及燃料费、维修费、保险费等支出；因公出国（境）费反映单位公务出国（境）</w:t>
      </w:r>
      <w:r>
        <w:rPr>
          <w:rFonts w:ascii="仿宋_GB2312" w:eastAsia="仿宋_GB2312" w:hAnsi="仿宋_GB2312" w:cs="仿宋_GB2312" w:hint="eastAsia"/>
          <w:color w:val="000000"/>
          <w:kern w:val="0"/>
          <w:sz w:val="32"/>
          <w:szCs w:val="32"/>
        </w:rPr>
        <w:lastRenderedPageBreak/>
        <w:t>的国际旅费、国外城市间交通费、食宿费等支出。</w:t>
      </w:r>
    </w:p>
    <w:p w:rsidR="003B2E49" w:rsidRDefault="003B2E49">
      <w:pPr>
        <w:widowControl/>
        <w:jc w:val="left"/>
        <w:rPr>
          <w:rFonts w:ascii="黑体" w:eastAsia="黑体" w:cs="黑体"/>
          <w:color w:val="000000"/>
          <w:kern w:val="0"/>
          <w:sz w:val="70"/>
          <w:szCs w:val="70"/>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3B2E49">
      <w:pPr>
        <w:pStyle w:val="Default"/>
        <w:jc w:val="center"/>
        <w:rPr>
          <w:sz w:val="72"/>
          <w:szCs w:val="72"/>
        </w:rPr>
      </w:pPr>
    </w:p>
    <w:p w:rsidR="003B2E49" w:rsidRDefault="00A5413E">
      <w:pPr>
        <w:pStyle w:val="Default"/>
        <w:jc w:val="center"/>
        <w:rPr>
          <w:sz w:val="72"/>
          <w:szCs w:val="72"/>
        </w:rPr>
      </w:pPr>
      <w:r>
        <w:rPr>
          <w:rFonts w:hint="eastAsia"/>
          <w:sz w:val="72"/>
          <w:szCs w:val="72"/>
        </w:rPr>
        <w:t>第五部分</w:t>
      </w:r>
    </w:p>
    <w:p w:rsidR="003B2E49" w:rsidRDefault="003B2E49">
      <w:pPr>
        <w:jc w:val="center"/>
        <w:rPr>
          <w:rFonts w:ascii="黑体" w:eastAsia="黑体" w:cs="黑体"/>
          <w:color w:val="000000"/>
          <w:kern w:val="0"/>
          <w:sz w:val="70"/>
          <w:szCs w:val="70"/>
        </w:rPr>
      </w:pPr>
    </w:p>
    <w:p w:rsidR="003B2E49" w:rsidRDefault="00A5413E">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3B2E49" w:rsidRDefault="00A5413E">
      <w:pPr>
        <w:jc w:val="center"/>
        <w:rPr>
          <w:rFonts w:eastAsia="方正小标宋_GBK"/>
          <w:sz w:val="36"/>
          <w:szCs w:val="36"/>
        </w:rPr>
      </w:pPr>
      <w:r>
        <w:rPr>
          <w:rFonts w:ascii="黑体" w:eastAsia="黑体" w:cs="黑体"/>
          <w:color w:val="000000"/>
          <w:kern w:val="0"/>
          <w:sz w:val="70"/>
          <w:szCs w:val="70"/>
        </w:rPr>
        <w:br w:type="page"/>
      </w:r>
      <w:r>
        <w:rPr>
          <w:rFonts w:eastAsia="方正小标宋_GBK"/>
          <w:color w:val="000000" w:themeColor="text1"/>
          <w:sz w:val="36"/>
          <w:szCs w:val="36"/>
        </w:rPr>
        <w:lastRenderedPageBreak/>
        <w:t>2021</w:t>
      </w:r>
      <w:r>
        <w:rPr>
          <w:rFonts w:eastAsia="方正小标宋_GBK" w:hint="eastAsia"/>
          <w:sz w:val="36"/>
          <w:szCs w:val="36"/>
        </w:rPr>
        <w:t>年度湖南省中医药研究院</w:t>
      </w:r>
    </w:p>
    <w:p w:rsidR="003B2E49" w:rsidRDefault="00A5413E">
      <w:pPr>
        <w:jc w:val="center"/>
        <w:rPr>
          <w:rFonts w:eastAsia="方正小标宋_GBK"/>
          <w:sz w:val="36"/>
          <w:szCs w:val="36"/>
        </w:rPr>
      </w:pPr>
      <w:r>
        <w:rPr>
          <w:rFonts w:eastAsia="方正小标宋_GBK" w:hint="eastAsia"/>
          <w:sz w:val="36"/>
          <w:szCs w:val="36"/>
        </w:rPr>
        <w:t>整体支出绩效自评报告</w:t>
      </w:r>
    </w:p>
    <w:p w:rsidR="003B2E49" w:rsidRDefault="00A5413E">
      <w:pPr>
        <w:pStyle w:val="Style3"/>
        <w:widowControl/>
        <w:spacing w:line="500" w:lineRule="exact"/>
        <w:ind w:firstLine="640"/>
        <w:rPr>
          <w:rFonts w:ascii="Times New Roman" w:eastAsia="仿宋" w:hAnsi="仿宋"/>
          <w:color w:val="000000"/>
          <w:sz w:val="32"/>
          <w:szCs w:val="32"/>
        </w:rPr>
      </w:pPr>
      <w:r>
        <w:rPr>
          <w:rFonts w:eastAsia="仿宋" w:hAnsi="仿宋" w:hint="eastAsia"/>
          <w:color w:val="000000"/>
          <w:sz w:val="32"/>
          <w:szCs w:val="32"/>
        </w:rPr>
        <w:t>根据省科技厅相关文件要求及省科技部门整体支出绩效评价编制要求，</w:t>
      </w:r>
      <w:r>
        <w:rPr>
          <w:rFonts w:ascii="仿宋_GB2312" w:eastAsia="仿宋_GB2312" w:hAnsi="微软雅黑" w:hint="eastAsia"/>
          <w:color w:val="000000"/>
          <w:kern w:val="0"/>
          <w:sz w:val="32"/>
          <w:szCs w:val="32"/>
        </w:rPr>
        <w:t>按照《关于开展2021年度省科技厅部门整体支出绩效自评工作的通知》</w:t>
      </w:r>
      <w:r>
        <w:rPr>
          <w:rFonts w:eastAsia="仿宋" w:hAnsi="仿宋" w:hint="eastAsia"/>
          <w:color w:val="000000"/>
          <w:sz w:val="32"/>
          <w:szCs w:val="32"/>
        </w:rPr>
        <w:t>要求，我院高度重视，于</w:t>
      </w:r>
      <w:r>
        <w:rPr>
          <w:rFonts w:eastAsia="仿宋" w:hAnsi="仿宋"/>
          <w:color w:val="000000"/>
          <w:sz w:val="32"/>
          <w:szCs w:val="32"/>
        </w:rPr>
        <w:t>2022</w:t>
      </w:r>
      <w:r>
        <w:rPr>
          <w:rFonts w:eastAsia="仿宋" w:hAnsi="仿宋" w:hint="eastAsia"/>
          <w:color w:val="000000"/>
          <w:sz w:val="32"/>
          <w:szCs w:val="32"/>
        </w:rPr>
        <w:t>年</w:t>
      </w:r>
      <w:r>
        <w:rPr>
          <w:rFonts w:eastAsia="仿宋" w:hAnsi="仿宋"/>
          <w:color w:val="000000"/>
          <w:sz w:val="32"/>
          <w:szCs w:val="32"/>
        </w:rPr>
        <w:t>3</w:t>
      </w:r>
      <w:r>
        <w:rPr>
          <w:rFonts w:eastAsia="仿宋" w:hAnsi="仿宋" w:hint="eastAsia"/>
          <w:color w:val="000000"/>
          <w:sz w:val="32"/>
          <w:szCs w:val="32"/>
        </w:rPr>
        <w:t>月底至</w:t>
      </w:r>
      <w:r>
        <w:rPr>
          <w:rFonts w:eastAsia="仿宋" w:hAnsi="仿宋"/>
          <w:color w:val="000000"/>
          <w:sz w:val="32"/>
          <w:szCs w:val="32"/>
        </w:rPr>
        <w:t>4</w:t>
      </w:r>
      <w:r>
        <w:rPr>
          <w:rFonts w:eastAsia="仿宋" w:hAnsi="仿宋" w:hint="eastAsia"/>
          <w:color w:val="000000"/>
          <w:sz w:val="32"/>
          <w:szCs w:val="32"/>
        </w:rPr>
        <w:t>月初组织人员</w:t>
      </w:r>
      <w:r>
        <w:rPr>
          <w:rFonts w:ascii="Times New Roman" w:eastAsia="仿宋" w:hAnsi="仿宋" w:hint="eastAsia"/>
          <w:color w:val="000000"/>
          <w:sz w:val="32"/>
          <w:szCs w:val="32"/>
        </w:rPr>
        <w:t>对我院</w:t>
      </w:r>
      <w:r>
        <w:rPr>
          <w:rFonts w:ascii="Times New Roman" w:eastAsia="仿宋" w:hAnsi="仿宋"/>
          <w:color w:val="000000"/>
          <w:sz w:val="32"/>
          <w:szCs w:val="32"/>
        </w:rPr>
        <w:t>2021</w:t>
      </w:r>
      <w:r>
        <w:rPr>
          <w:rFonts w:ascii="Times New Roman" w:eastAsia="仿宋" w:hAnsi="仿宋" w:hint="eastAsia"/>
          <w:color w:val="000000"/>
          <w:sz w:val="32"/>
          <w:szCs w:val="32"/>
        </w:rPr>
        <w:t>年单位整体支出进行了绩效评价，现将整体支出绩效评价情况报告如下：</w:t>
      </w:r>
    </w:p>
    <w:p w:rsidR="003B2E49" w:rsidRDefault="00A5413E">
      <w:pPr>
        <w:pStyle w:val="Style3"/>
        <w:widowControl/>
        <w:numPr>
          <w:ilvl w:val="0"/>
          <w:numId w:val="1"/>
        </w:numPr>
        <w:spacing w:line="500" w:lineRule="exact"/>
        <w:ind w:firstLineChars="0"/>
        <w:rPr>
          <w:rFonts w:ascii="Times New Roman" w:eastAsia="黑体" w:hAnsi="Times New Roman"/>
          <w:sz w:val="32"/>
          <w:szCs w:val="32"/>
        </w:rPr>
      </w:pPr>
      <w:r>
        <w:rPr>
          <w:rFonts w:ascii="Times New Roman" w:eastAsia="黑体" w:hAnsi="Times New Roman" w:hint="eastAsia"/>
          <w:sz w:val="32"/>
          <w:szCs w:val="32"/>
        </w:rPr>
        <w:t>单位基本情况</w:t>
      </w:r>
    </w:p>
    <w:p w:rsidR="003B2E49" w:rsidRDefault="00A5413E">
      <w:pPr>
        <w:spacing w:line="5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我院为差额拨款科研事业单位，占地面积191.7亩（其中2021年10月枫林宾馆并入土地66.7亩），分南北二院，南院在长沙市麓山路58号以临床医疗和临床科研为主，北院在长沙市岳华路128号以科学研究及产业开发为主。其前身是创办于1957年3月的湖南中医药研究所,我院与湖南中医药大学实行“一套班子、两块牌子、独立法人、计划财政单列”的管理体制和运行模式。2021年7月经省编办批准同意我院为省政府直属公益一类事业单位，机构规格相当于正厅级，从湖南中医药大学独立出来，同时批准单独设立湖南省中医药研究院附属医院，规格相当于正处级，为省中医药研究院所属公益二类事业单位，纳入湖南省公立医院人事编制管理改革试点单位，目</w:t>
      </w:r>
      <w:r>
        <w:rPr>
          <w:rFonts w:ascii="仿宋" w:eastAsia="仿宋" w:hAnsi="仿宋" w:cs="仿宋" w:hint="eastAsia"/>
          <w:color w:val="000000" w:themeColor="text1"/>
          <w:kern w:val="0"/>
          <w:sz w:val="32"/>
          <w:szCs w:val="32"/>
        </w:rPr>
        <w:t>前因三定工作未完成致暂未正式运行，</w:t>
      </w:r>
      <w:r>
        <w:rPr>
          <w:rFonts w:ascii="仿宋" w:eastAsia="仿宋" w:hAnsi="仿宋" w:cs="仿宋" w:hint="eastAsia"/>
          <w:kern w:val="0"/>
          <w:sz w:val="32"/>
          <w:szCs w:val="32"/>
        </w:rPr>
        <w:t>2021年10月枫林宾馆并入我院附属医院</w:t>
      </w:r>
      <w:r>
        <w:rPr>
          <w:rFonts w:ascii="仿宋" w:eastAsia="仿宋" w:hAnsi="仿宋" w:cs="仿宋" w:hint="eastAsia"/>
          <w:color w:val="000000" w:themeColor="text1"/>
          <w:kern w:val="0"/>
          <w:sz w:val="32"/>
          <w:szCs w:val="32"/>
        </w:rPr>
        <w:t>。经过60多年的建设，我院已发展成为</w:t>
      </w:r>
      <w:r>
        <w:rPr>
          <w:rFonts w:ascii="仿宋" w:eastAsia="仿宋" w:hAnsi="仿宋" w:cs="仿宋" w:hint="eastAsia"/>
          <w:kern w:val="0"/>
          <w:sz w:val="32"/>
          <w:szCs w:val="32"/>
        </w:rPr>
        <w:t>集科学研究、临床医疗、高等教育、产业开发、生产管理、信息服务于一体的省级综合性中医药科研机构。</w:t>
      </w:r>
    </w:p>
    <w:p w:rsidR="003B2E49" w:rsidRDefault="00A5413E">
      <w:pPr>
        <w:pStyle w:val="a3"/>
        <w:spacing w:line="5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现有在职职工964人，其中编内职工523人、合同制职工441人，附属医院劳务派遣人员78人，离退休人员284人；其中专业技术人员453人，高级职称专家248人，国医大师2名；另外枫林宾馆并入人员：备案制人员66人，提前离岗人员55人，劳务派遣人员60人，退休人员275人。</w:t>
      </w:r>
    </w:p>
    <w:p w:rsidR="003B2E49" w:rsidRDefault="00A5413E">
      <w:pPr>
        <w:pStyle w:val="Style3"/>
        <w:widowControl/>
        <w:spacing w:line="500" w:lineRule="exact"/>
        <w:ind w:firstLine="640"/>
        <w:rPr>
          <w:rFonts w:ascii="Times New Roman" w:eastAsia="仿宋" w:hAnsi="仿宋"/>
          <w:color w:val="000000"/>
          <w:sz w:val="32"/>
          <w:szCs w:val="32"/>
        </w:rPr>
      </w:pPr>
      <w:r>
        <w:rPr>
          <w:rFonts w:ascii="Times New Roman" w:eastAsia="仿宋" w:hAnsi="仿宋" w:hint="eastAsia"/>
          <w:color w:val="000000"/>
          <w:sz w:val="32"/>
          <w:szCs w:val="32"/>
        </w:rPr>
        <w:t>我院的业务范围为中医药科研、医疗，中药新药、新产品的技术开发和产业发展，具体为中医药基础理论、临床医疗方法、文献信息的研究，中药新药的研制及新产品的开发；中医医疗服务和保健工作；中药新药临</w:t>
      </w:r>
      <w:r>
        <w:rPr>
          <w:rFonts w:ascii="Times New Roman" w:eastAsia="仿宋" w:hAnsi="仿宋" w:hint="eastAsia"/>
          <w:color w:val="000000"/>
          <w:sz w:val="32"/>
          <w:szCs w:val="32"/>
        </w:rPr>
        <w:lastRenderedPageBreak/>
        <w:t>床试验工作；中医药科研检索查新工作；人员的培训，指导基层单位的中医药科研、医疗、新产品的开发工作和产业发展。</w:t>
      </w:r>
    </w:p>
    <w:p w:rsidR="003B2E49" w:rsidRDefault="00A5413E">
      <w:pPr>
        <w:pStyle w:val="Style3"/>
        <w:widowControl/>
        <w:spacing w:line="500" w:lineRule="exact"/>
        <w:ind w:firstLine="640"/>
        <w:rPr>
          <w:rFonts w:ascii="Times New Roman" w:eastAsia="仿宋" w:hAnsi="仿宋"/>
          <w:color w:val="000000"/>
          <w:sz w:val="32"/>
          <w:szCs w:val="32"/>
        </w:rPr>
      </w:pPr>
      <w:r>
        <w:rPr>
          <w:rFonts w:ascii="Times New Roman" w:eastAsia="仿宋" w:hAnsi="仿宋" w:hint="eastAsia"/>
          <w:color w:val="000000"/>
          <w:sz w:val="32"/>
          <w:szCs w:val="32"/>
        </w:rPr>
        <w:t>我院现下设有附属医院（中医临床研究所、中医肿瘤研究所）、中药研究所（湖南省中药超微工程技术研究中心）、文献信息研究所（湖南中医杂志社、湖南省中医药科技信息中心）等科研、医疗业务二级单位；并拥有湖南国华制药有限公司、湖南省中医药科技发展总公司等科技企</w:t>
      </w:r>
      <w:r>
        <w:rPr>
          <w:rFonts w:ascii="Times New Roman" w:eastAsia="仿宋" w:hAnsi="仿宋" w:hint="eastAsia"/>
          <w:color w:val="000000" w:themeColor="text1"/>
          <w:sz w:val="32"/>
          <w:szCs w:val="32"/>
        </w:rPr>
        <w:t>业；还设有院办公室、人事处、科技处、计财处、监察审计室、院工会等部门。拥有国家食品药品监督管理局药品临床研究基地，</w:t>
      </w:r>
      <w:r>
        <w:rPr>
          <w:rFonts w:ascii="Times New Roman" w:eastAsia="仿宋" w:hAnsi="仿宋" w:hint="eastAsia"/>
          <w:color w:val="000000"/>
          <w:sz w:val="32"/>
          <w:szCs w:val="32"/>
        </w:rPr>
        <w:t>国家中医临床研究基地（肝病肿瘤协作单位），中药粉体与创新药物省部共建国家重点实验室培育基地，中药粉体关键技术及装备国家地方联合工程实验室，医药粉体技术教育部工程研究中心，国家中医药管理局中药粉体技术重点研究室，湖南省中药新药研究与开发重点实验室，科技部中小企业中药创制技术服务平台，中国中医药文献检索中心湖南分中心，国家中医药管理局中医药文化科普宣传教育基地，以及中药制剂、中药药理</w:t>
      </w:r>
      <w:r>
        <w:rPr>
          <w:rFonts w:ascii="Times New Roman" w:eastAsia="仿宋" w:hAnsi="仿宋"/>
          <w:color w:val="000000"/>
          <w:sz w:val="32"/>
          <w:szCs w:val="32"/>
        </w:rPr>
        <w:t>2</w:t>
      </w:r>
      <w:r>
        <w:rPr>
          <w:rFonts w:ascii="Times New Roman" w:eastAsia="仿宋" w:hAnsi="仿宋" w:hint="eastAsia"/>
          <w:color w:val="000000"/>
          <w:sz w:val="32"/>
          <w:szCs w:val="32"/>
        </w:rPr>
        <w:t>个国家中医药管理局三级实验室，中药新药研究与开发、中药化学、中药生药</w:t>
      </w:r>
      <w:r>
        <w:rPr>
          <w:rFonts w:ascii="Times New Roman" w:eastAsia="仿宋" w:hAnsi="仿宋"/>
          <w:color w:val="000000"/>
          <w:sz w:val="32"/>
          <w:szCs w:val="32"/>
        </w:rPr>
        <w:t>3</w:t>
      </w:r>
      <w:r>
        <w:rPr>
          <w:rFonts w:ascii="Times New Roman" w:eastAsia="仿宋" w:hAnsi="仿宋" w:hint="eastAsia"/>
          <w:color w:val="000000"/>
          <w:sz w:val="32"/>
          <w:szCs w:val="32"/>
        </w:rPr>
        <w:t>个省级重点实验室等科技平台。现有肿瘤科、心血管科、老年病科和骨伤科</w:t>
      </w:r>
      <w:r>
        <w:rPr>
          <w:rFonts w:ascii="Times New Roman" w:eastAsia="仿宋" w:hAnsi="仿宋"/>
          <w:color w:val="000000"/>
          <w:sz w:val="32"/>
          <w:szCs w:val="32"/>
        </w:rPr>
        <w:t>4</w:t>
      </w:r>
      <w:r>
        <w:rPr>
          <w:rFonts w:ascii="Times New Roman" w:eastAsia="仿宋" w:hAnsi="仿宋" w:hint="eastAsia"/>
          <w:color w:val="000000"/>
          <w:sz w:val="32"/>
          <w:szCs w:val="32"/>
        </w:rPr>
        <w:t>个国家重点学科；肿瘤科、脑病科、内分泌老年病科</w:t>
      </w:r>
      <w:r>
        <w:rPr>
          <w:rFonts w:ascii="Times New Roman" w:eastAsia="仿宋" w:hAnsi="仿宋"/>
          <w:color w:val="000000"/>
          <w:sz w:val="32"/>
          <w:szCs w:val="32"/>
        </w:rPr>
        <w:t>3</w:t>
      </w:r>
      <w:r>
        <w:rPr>
          <w:rFonts w:ascii="Times New Roman" w:eastAsia="仿宋" w:hAnsi="仿宋" w:hint="eastAsia"/>
          <w:color w:val="000000"/>
          <w:sz w:val="32"/>
          <w:szCs w:val="32"/>
        </w:rPr>
        <w:t>个全国重点中医临床专科；肿瘤科、脑病科、心血管（高血压病）科、内分泌老年病科、护理学</w:t>
      </w:r>
      <w:r>
        <w:rPr>
          <w:rFonts w:ascii="Times New Roman" w:eastAsia="仿宋" w:hAnsi="仿宋"/>
          <w:color w:val="000000"/>
          <w:sz w:val="32"/>
          <w:szCs w:val="32"/>
        </w:rPr>
        <w:t>5</w:t>
      </w:r>
      <w:r>
        <w:rPr>
          <w:rFonts w:ascii="Times New Roman" w:eastAsia="仿宋" w:hAnsi="仿宋" w:hint="eastAsia"/>
          <w:color w:val="000000"/>
          <w:sz w:val="32"/>
          <w:szCs w:val="32"/>
        </w:rPr>
        <w:t>个国家中医药管理局重点专科；肿瘤学</w:t>
      </w:r>
      <w:r>
        <w:rPr>
          <w:rFonts w:ascii="Times New Roman" w:eastAsia="仿宋" w:hAnsi="仿宋"/>
          <w:color w:val="000000"/>
          <w:sz w:val="32"/>
          <w:szCs w:val="32"/>
        </w:rPr>
        <w:t>1</w:t>
      </w:r>
      <w:r>
        <w:rPr>
          <w:rFonts w:ascii="Times New Roman" w:eastAsia="仿宋" w:hAnsi="仿宋" w:hint="eastAsia"/>
          <w:color w:val="000000"/>
          <w:sz w:val="32"/>
          <w:szCs w:val="32"/>
        </w:rPr>
        <w:t>个省级重点研究室；</w:t>
      </w:r>
      <w:r>
        <w:rPr>
          <w:rFonts w:ascii="Times New Roman" w:eastAsia="仿宋" w:hAnsi="仿宋"/>
          <w:color w:val="000000"/>
          <w:sz w:val="32"/>
          <w:szCs w:val="32"/>
        </w:rPr>
        <w:t>9</w:t>
      </w:r>
      <w:r>
        <w:rPr>
          <w:rFonts w:ascii="Times New Roman" w:eastAsia="仿宋" w:hAnsi="仿宋" w:hint="eastAsia"/>
          <w:color w:val="000000"/>
          <w:sz w:val="32"/>
          <w:szCs w:val="32"/>
        </w:rPr>
        <w:t>个全国名老中医传承工作室，</w:t>
      </w:r>
      <w:r>
        <w:rPr>
          <w:rFonts w:ascii="Times New Roman" w:eastAsia="仿宋" w:hAnsi="仿宋"/>
          <w:color w:val="000000"/>
          <w:sz w:val="32"/>
          <w:szCs w:val="32"/>
        </w:rPr>
        <w:t>1</w:t>
      </w:r>
      <w:r>
        <w:rPr>
          <w:rFonts w:ascii="Times New Roman" w:eastAsia="仿宋" w:hAnsi="仿宋" w:hint="eastAsia"/>
          <w:color w:val="000000"/>
          <w:sz w:val="32"/>
          <w:szCs w:val="32"/>
        </w:rPr>
        <w:t>个全国学术流派传承工作室等。</w:t>
      </w:r>
      <w:r>
        <w:rPr>
          <w:rFonts w:ascii="Times New Roman" w:eastAsia="仿宋" w:hAnsi="仿宋"/>
          <w:color w:val="000000"/>
          <w:sz w:val="32"/>
          <w:szCs w:val="32"/>
        </w:rPr>
        <w:t>1985</w:t>
      </w:r>
      <w:r>
        <w:rPr>
          <w:rFonts w:ascii="Times New Roman" w:eastAsia="仿宋" w:hAnsi="仿宋" w:hint="eastAsia"/>
          <w:color w:val="000000"/>
          <w:sz w:val="32"/>
          <w:szCs w:val="32"/>
        </w:rPr>
        <w:t>年创办综合性中医药学术期刊《湖南中医杂志》，</w:t>
      </w:r>
      <w:r>
        <w:rPr>
          <w:rFonts w:ascii="Times New Roman" w:eastAsia="仿宋" w:hAnsi="仿宋"/>
          <w:color w:val="000000"/>
          <w:sz w:val="32"/>
          <w:szCs w:val="32"/>
        </w:rPr>
        <w:t>2013</w:t>
      </w:r>
      <w:r>
        <w:rPr>
          <w:rFonts w:ascii="Times New Roman" w:eastAsia="仿宋" w:hAnsi="仿宋" w:hint="eastAsia"/>
          <w:color w:val="000000"/>
          <w:sz w:val="32"/>
          <w:szCs w:val="32"/>
        </w:rPr>
        <w:t>年</w:t>
      </w:r>
      <w:r>
        <w:rPr>
          <w:rFonts w:ascii="Times New Roman" w:eastAsia="仿宋" w:hAnsi="仿宋"/>
          <w:color w:val="000000"/>
          <w:sz w:val="32"/>
          <w:szCs w:val="32"/>
        </w:rPr>
        <w:t>1</w:t>
      </w:r>
      <w:r>
        <w:rPr>
          <w:rFonts w:ascii="Times New Roman" w:eastAsia="仿宋" w:hAnsi="仿宋" w:hint="eastAsia"/>
          <w:color w:val="000000"/>
          <w:sz w:val="32"/>
          <w:szCs w:val="32"/>
        </w:rPr>
        <w:t>月正式改为月刊</w:t>
      </w:r>
      <w:r>
        <w:rPr>
          <w:rFonts w:ascii="Times New Roman" w:eastAsia="仿宋" w:hAnsi="仿宋"/>
          <w:color w:val="000000"/>
          <w:sz w:val="32"/>
          <w:szCs w:val="32"/>
        </w:rPr>
        <w:t xml:space="preserve"> </w:t>
      </w:r>
      <w:r>
        <w:rPr>
          <w:rFonts w:ascii="Times New Roman" w:eastAsia="仿宋" w:hAnsi="仿宋" w:hint="eastAsia"/>
          <w:color w:val="000000"/>
          <w:sz w:val="32"/>
          <w:szCs w:val="32"/>
        </w:rPr>
        <w:t>，国内外公开发行，现为湖南省一级学术期刊、中国中文核心期刊、全国优秀科技期刊、中国科技论文统计源期刊（扩刊版）、中国学术期刊综合评价数据库统计源期刊。</w:t>
      </w:r>
    </w:p>
    <w:p w:rsidR="003B2E49" w:rsidRDefault="00A5413E">
      <w:pPr>
        <w:pStyle w:val="Style3"/>
        <w:widowControl/>
        <w:spacing w:line="500" w:lineRule="exact"/>
        <w:ind w:firstLine="640"/>
        <w:rPr>
          <w:rFonts w:ascii="Times New Roman" w:eastAsia="仿宋" w:hAnsi="仿宋"/>
          <w:color w:val="000000"/>
          <w:sz w:val="32"/>
          <w:szCs w:val="32"/>
        </w:rPr>
      </w:pPr>
      <w:r>
        <w:rPr>
          <w:rFonts w:ascii="Times New Roman" w:eastAsia="仿宋" w:hAnsi="仿宋" w:hint="eastAsia"/>
          <w:color w:val="000000"/>
          <w:sz w:val="32"/>
          <w:szCs w:val="32"/>
        </w:rPr>
        <w:t>我院积极开展中医临床实践，着力打造中医特色浓厚、中医优势明显的“名院”、“名医”、“名科”和“名术”的综合性三级甲等中医医院。附属医院是国家中医药管理局全国重点建设中西医结合医院，内设肿瘤、心血管、脑病、消化、内分泌、呼吸、肾病、老年病、骨伤、针灸、肛肠、妇、儿、五官、皮肤、急诊、功能、放射、检验、药剂等</w:t>
      </w:r>
      <w:r>
        <w:rPr>
          <w:rFonts w:ascii="Times New Roman" w:eastAsia="仿宋" w:hAnsi="仿宋"/>
          <w:color w:val="000000"/>
          <w:sz w:val="32"/>
          <w:szCs w:val="32"/>
        </w:rPr>
        <w:t>20</w:t>
      </w:r>
      <w:r>
        <w:rPr>
          <w:rFonts w:ascii="Times New Roman" w:eastAsia="仿宋" w:hAnsi="仿宋" w:hint="eastAsia"/>
          <w:color w:val="000000"/>
          <w:sz w:val="32"/>
          <w:szCs w:val="32"/>
        </w:rPr>
        <w:t>余个临床及医技科室，编制床位</w:t>
      </w:r>
      <w:r>
        <w:rPr>
          <w:rFonts w:ascii="Times New Roman" w:eastAsia="仿宋" w:hAnsi="仿宋"/>
          <w:color w:val="000000"/>
          <w:sz w:val="32"/>
          <w:szCs w:val="32"/>
        </w:rPr>
        <w:t>650</w:t>
      </w:r>
      <w:r>
        <w:rPr>
          <w:rFonts w:ascii="Times New Roman" w:eastAsia="仿宋" w:hAnsi="仿宋" w:hint="eastAsia"/>
          <w:color w:val="000000"/>
          <w:sz w:val="32"/>
          <w:szCs w:val="32"/>
        </w:rPr>
        <w:t>张，实际开放病床</w:t>
      </w:r>
      <w:r>
        <w:rPr>
          <w:rFonts w:ascii="Times New Roman" w:eastAsia="仿宋" w:hAnsi="仿宋"/>
          <w:color w:val="000000"/>
          <w:sz w:val="32"/>
          <w:szCs w:val="32"/>
        </w:rPr>
        <w:t>860</w:t>
      </w:r>
      <w:r>
        <w:rPr>
          <w:rFonts w:ascii="Times New Roman" w:eastAsia="仿宋" w:hAnsi="仿宋" w:hint="eastAsia"/>
          <w:color w:val="000000"/>
          <w:sz w:val="32"/>
          <w:szCs w:val="32"/>
        </w:rPr>
        <w:t>余张。医院技术力量雄厚，拥有高级职称专家</w:t>
      </w:r>
      <w:r>
        <w:rPr>
          <w:rFonts w:ascii="Times New Roman" w:eastAsia="仿宋" w:hAnsi="仿宋"/>
          <w:color w:val="000000"/>
          <w:sz w:val="32"/>
          <w:szCs w:val="32"/>
        </w:rPr>
        <w:t>100</w:t>
      </w:r>
      <w:r>
        <w:rPr>
          <w:rFonts w:ascii="Times New Roman" w:eastAsia="仿宋" w:hAnsi="仿宋" w:hint="eastAsia"/>
          <w:color w:val="000000"/>
          <w:sz w:val="32"/>
          <w:szCs w:val="32"/>
        </w:rPr>
        <w:t>余名。配备了核磁共振、直线加速器、</w:t>
      </w:r>
      <w:r>
        <w:rPr>
          <w:rFonts w:ascii="Times New Roman" w:eastAsia="仿宋" w:hAnsi="仿宋"/>
          <w:color w:val="000000"/>
          <w:sz w:val="32"/>
          <w:szCs w:val="32"/>
        </w:rPr>
        <w:t>16</w:t>
      </w:r>
      <w:r>
        <w:rPr>
          <w:rFonts w:ascii="Times New Roman" w:eastAsia="仿宋" w:hAnsi="仿宋" w:hint="eastAsia"/>
          <w:color w:val="000000"/>
          <w:sz w:val="32"/>
          <w:szCs w:val="32"/>
        </w:rPr>
        <w:t>排螺旋</w:t>
      </w:r>
      <w:r>
        <w:rPr>
          <w:rFonts w:ascii="Times New Roman" w:eastAsia="仿宋" w:hAnsi="仿宋"/>
          <w:color w:val="000000"/>
          <w:sz w:val="32"/>
          <w:szCs w:val="32"/>
        </w:rPr>
        <w:lastRenderedPageBreak/>
        <w:t>CT</w:t>
      </w:r>
      <w:r>
        <w:rPr>
          <w:rFonts w:ascii="Times New Roman" w:eastAsia="仿宋" w:hAnsi="仿宋" w:hint="eastAsia"/>
          <w:color w:val="000000"/>
          <w:sz w:val="32"/>
          <w:szCs w:val="32"/>
        </w:rPr>
        <w:t>、</w:t>
      </w:r>
      <w:r>
        <w:rPr>
          <w:rFonts w:ascii="Times New Roman" w:eastAsia="仿宋" w:hAnsi="仿宋"/>
          <w:color w:val="000000"/>
          <w:sz w:val="32"/>
          <w:szCs w:val="32"/>
        </w:rPr>
        <w:t>DR</w:t>
      </w:r>
      <w:r>
        <w:rPr>
          <w:rFonts w:ascii="Times New Roman" w:eastAsia="仿宋" w:hAnsi="仿宋" w:hint="eastAsia"/>
          <w:color w:val="000000"/>
          <w:sz w:val="32"/>
          <w:szCs w:val="32"/>
        </w:rPr>
        <w:t>、</w:t>
      </w:r>
      <w:r>
        <w:rPr>
          <w:rFonts w:ascii="Times New Roman" w:eastAsia="仿宋" w:hAnsi="仿宋"/>
          <w:color w:val="000000"/>
          <w:sz w:val="32"/>
          <w:szCs w:val="32"/>
        </w:rPr>
        <w:t>PET-CT</w:t>
      </w:r>
      <w:r>
        <w:rPr>
          <w:rFonts w:ascii="Times New Roman" w:eastAsia="仿宋" w:hAnsi="仿宋" w:hint="eastAsia"/>
          <w:color w:val="000000"/>
          <w:sz w:val="32"/>
          <w:szCs w:val="32"/>
        </w:rPr>
        <w:t>、</w:t>
      </w:r>
      <w:r>
        <w:rPr>
          <w:rFonts w:ascii="Times New Roman" w:eastAsia="仿宋" w:hAnsi="仿宋"/>
          <w:color w:val="000000"/>
          <w:sz w:val="32"/>
          <w:szCs w:val="32"/>
        </w:rPr>
        <w:t>DSA</w:t>
      </w:r>
      <w:r>
        <w:rPr>
          <w:rFonts w:ascii="Times New Roman" w:eastAsia="仿宋" w:hAnsi="仿宋" w:hint="eastAsia"/>
          <w:color w:val="000000"/>
          <w:sz w:val="32"/>
          <w:szCs w:val="32"/>
        </w:rPr>
        <w:t>介入成像系统、高档全身彩超、全自动生化仪、全自动五分类血球仪、全自动发光免疫仪、流式细胞仪、层流洁净手术室、血透室等先进医疗设备设施，具有较完善的诊疗手段和诊疗技术水平。研制纯中药特色医院制剂</w:t>
      </w:r>
      <w:r>
        <w:rPr>
          <w:rFonts w:ascii="Times New Roman" w:eastAsia="仿宋" w:hAnsi="仿宋"/>
          <w:color w:val="000000"/>
          <w:sz w:val="32"/>
          <w:szCs w:val="32"/>
        </w:rPr>
        <w:t>40</w:t>
      </w:r>
      <w:r>
        <w:rPr>
          <w:rFonts w:ascii="Times New Roman" w:eastAsia="仿宋" w:hAnsi="仿宋" w:hint="eastAsia"/>
          <w:color w:val="000000"/>
          <w:sz w:val="32"/>
          <w:szCs w:val="32"/>
        </w:rPr>
        <w:t>余种，临床疗效显著，深受患者欢迎。</w:t>
      </w:r>
    </w:p>
    <w:p w:rsidR="003B2E49" w:rsidRDefault="00A5413E">
      <w:pPr>
        <w:pStyle w:val="Style3"/>
        <w:widowControl/>
        <w:numPr>
          <w:ilvl w:val="0"/>
          <w:numId w:val="1"/>
        </w:numPr>
        <w:spacing w:line="500" w:lineRule="exact"/>
        <w:ind w:firstLineChars="0"/>
        <w:rPr>
          <w:rFonts w:ascii="Times New Roman" w:eastAsia="黑体" w:hAnsi="Times New Roman"/>
          <w:sz w:val="32"/>
          <w:szCs w:val="32"/>
        </w:rPr>
      </w:pPr>
      <w:r>
        <w:rPr>
          <w:rFonts w:ascii="Times New Roman" w:eastAsia="黑体" w:hAnsi="Times New Roman" w:hint="eastAsia"/>
          <w:sz w:val="32"/>
          <w:szCs w:val="32"/>
        </w:rPr>
        <w:t>一般公共预算支出情况</w:t>
      </w:r>
    </w:p>
    <w:p w:rsidR="003B2E49" w:rsidRDefault="00A5413E">
      <w:pPr>
        <w:pStyle w:val="Style3"/>
        <w:widowControl/>
        <w:numPr>
          <w:ilvl w:val="0"/>
          <w:numId w:val="2"/>
        </w:numPr>
        <w:spacing w:line="500" w:lineRule="exact"/>
        <w:ind w:firstLineChars="0"/>
        <w:rPr>
          <w:rFonts w:ascii="Times New Roman" w:eastAsia="黑体" w:hAnsi="Times New Roman"/>
          <w:sz w:val="32"/>
          <w:szCs w:val="32"/>
        </w:rPr>
      </w:pPr>
      <w:r>
        <w:rPr>
          <w:rFonts w:ascii="Times New Roman" w:eastAsia="黑体" w:hAnsi="Times New Roman" w:hint="eastAsia"/>
          <w:sz w:val="32"/>
          <w:szCs w:val="32"/>
        </w:rPr>
        <w:t>基本支出情况</w:t>
      </w:r>
    </w:p>
    <w:p w:rsidR="003B2E49" w:rsidRDefault="00A5413E">
      <w:pPr>
        <w:spacing w:line="500" w:lineRule="exact"/>
        <w:ind w:firstLineChars="200" w:firstLine="640"/>
        <w:rPr>
          <w:rFonts w:ascii="Times New Roman" w:eastAsia="宋体" w:hAnsi="Times New Roman"/>
          <w:szCs w:val="24"/>
        </w:rPr>
      </w:pPr>
      <w:r>
        <w:rPr>
          <w:rFonts w:ascii="仿宋" w:eastAsia="仿宋" w:hAnsi="仿宋" w:cs="仿宋" w:hint="eastAsia"/>
          <w:color w:val="000000"/>
          <w:sz w:val="32"/>
          <w:szCs w:val="32"/>
        </w:rPr>
        <w:t>2021年基本支出共计4.1364亿元，其中人员经费2.8662亿元，公用经费8912.7万元，资本性支出3789.56万元。人员经费主要包括工资福利支出和对个人和家庭补助支出。工资福利支出包括基本工资2841.2万元，津补贴1330.2万元，奖金982.3万元，绩效工资1.8031亿元，机关事业单位基本养老保险缴费1137.04万元，职业年金缴费100万元，职工基本医疗保险缴费500.3万元, 其他社会保障缴费84.万元, 住房公积金946.9万元, 其他工资福利支出1571.3万元; 对个人和家庭的补助包括离休费9.97万元，退休费300.7万元，生活补助401.9万元，抚恤金41万元，医疗费补助92.4万元，其他对个人和家庭的补助290.8万元。</w:t>
      </w:r>
    </w:p>
    <w:p w:rsidR="003B2E49" w:rsidRDefault="00A5413E">
      <w:pPr>
        <w:pStyle w:val="Style3"/>
        <w:widowControl/>
        <w:numPr>
          <w:ilvl w:val="0"/>
          <w:numId w:val="2"/>
        </w:numPr>
        <w:spacing w:line="500" w:lineRule="exact"/>
        <w:ind w:firstLineChars="0"/>
        <w:rPr>
          <w:rFonts w:ascii="Times New Roman" w:eastAsia="黑体" w:hAnsi="Times New Roman"/>
          <w:sz w:val="32"/>
          <w:szCs w:val="32"/>
        </w:rPr>
      </w:pPr>
      <w:r>
        <w:rPr>
          <w:rFonts w:ascii="Times New Roman" w:eastAsia="黑体" w:hAnsi="Times New Roman" w:hint="eastAsia"/>
          <w:sz w:val="32"/>
          <w:szCs w:val="32"/>
        </w:rPr>
        <w:t>项目支出情况</w:t>
      </w:r>
    </w:p>
    <w:p w:rsidR="003B2E49" w:rsidRDefault="00A5413E">
      <w:pPr>
        <w:pStyle w:val="Style3"/>
        <w:widowControl/>
        <w:spacing w:line="500" w:lineRule="exact"/>
        <w:ind w:left="630" w:firstLineChars="0" w:firstLine="0"/>
        <w:rPr>
          <w:rFonts w:ascii="仿宋" w:eastAsia="仿宋" w:hAnsi="仿宋" w:cs="仿宋"/>
          <w:color w:val="000000"/>
          <w:sz w:val="32"/>
          <w:szCs w:val="32"/>
        </w:rPr>
      </w:pPr>
      <w:r>
        <w:rPr>
          <w:rFonts w:ascii="仿宋" w:eastAsia="仿宋" w:hAnsi="仿宋" w:cs="仿宋" w:hint="eastAsia"/>
          <w:color w:val="000000"/>
          <w:sz w:val="32"/>
          <w:szCs w:val="32"/>
        </w:rPr>
        <w:t>2021年项目支出包括一般公共服务支出12.68万元，</w:t>
      </w:r>
    </w:p>
    <w:p w:rsidR="003B2E49" w:rsidRDefault="00A5413E">
      <w:pPr>
        <w:pStyle w:val="Style3"/>
        <w:widowControl/>
        <w:spacing w:line="500" w:lineRule="exact"/>
        <w:ind w:firstLineChars="0" w:firstLine="0"/>
        <w:rPr>
          <w:rFonts w:ascii="仿宋" w:eastAsia="仿宋" w:hAnsi="仿宋" w:cs="仿宋"/>
          <w:color w:val="000000"/>
          <w:sz w:val="32"/>
          <w:szCs w:val="32"/>
        </w:rPr>
      </w:pPr>
      <w:r>
        <w:rPr>
          <w:rFonts w:ascii="仿宋" w:eastAsia="仿宋" w:hAnsi="仿宋" w:cs="仿宋" w:hint="eastAsia"/>
          <w:color w:val="000000"/>
          <w:sz w:val="32"/>
          <w:szCs w:val="32"/>
        </w:rPr>
        <w:t>科学技术支出2.973亿元，卫生健康支出6109.8万元。科学技术支出含附属医院专用材料支出。卫生健康　　　　　　　　　　　　含湖南省中医药研究院中医药传承创新工程项目，项目支出前两类主要是科研、人才经费支出，后一类是基建项目—中医药传承创新工程建设中的传承创新大楼基建支出。</w:t>
      </w:r>
    </w:p>
    <w:p w:rsidR="003B2E49" w:rsidRDefault="00A5413E">
      <w:pPr>
        <w:pStyle w:val="Style3"/>
        <w:widowControl/>
        <w:numPr>
          <w:ilvl w:val="0"/>
          <w:numId w:val="2"/>
        </w:numPr>
        <w:spacing w:line="500" w:lineRule="exact"/>
        <w:ind w:firstLineChars="0"/>
        <w:rPr>
          <w:rFonts w:ascii="Times New Roman" w:eastAsia="黑体" w:hAnsi="Times New Roman"/>
          <w:sz w:val="32"/>
          <w:szCs w:val="32"/>
        </w:rPr>
      </w:pPr>
      <w:r>
        <w:rPr>
          <w:rFonts w:ascii="Times New Roman" w:eastAsia="黑体" w:hAnsi="Times New Roman" w:hint="eastAsia"/>
          <w:sz w:val="32"/>
          <w:szCs w:val="32"/>
        </w:rPr>
        <w:t>经营服务支出情况</w:t>
      </w:r>
    </w:p>
    <w:p w:rsidR="003B2E49" w:rsidRDefault="00A5413E">
      <w:pPr>
        <w:pStyle w:val="a3"/>
        <w:spacing w:line="500" w:lineRule="exact"/>
        <w:rPr>
          <w:rFonts w:ascii="仿宋" w:eastAsia="仿宋" w:hAnsi="仿宋" w:cs="仿宋"/>
          <w:color w:val="000000"/>
          <w:sz w:val="32"/>
          <w:szCs w:val="32"/>
        </w:rPr>
      </w:pPr>
      <w:r>
        <w:rPr>
          <w:rFonts w:ascii="仿宋" w:eastAsia="仿宋" w:hAnsi="仿宋" w:cs="仿宋" w:hint="eastAsia"/>
          <w:color w:val="000000"/>
          <w:sz w:val="32"/>
          <w:szCs w:val="32"/>
        </w:rPr>
        <w:t xml:space="preserve">  2021年经营服务支出2057.3万元,主要是枫林宾馆并入后10-12月份的支出。其中工资福利72.83万元，商品服务614.94万元，对个人和家庭的补助713.39万元（含退职费671.67万元）。</w:t>
      </w:r>
    </w:p>
    <w:p w:rsidR="003B2E49" w:rsidRDefault="00A5413E">
      <w:pPr>
        <w:pStyle w:val="Style3"/>
        <w:widowControl/>
        <w:numPr>
          <w:ilvl w:val="0"/>
          <w:numId w:val="1"/>
        </w:numPr>
        <w:spacing w:line="500" w:lineRule="exact"/>
        <w:ind w:firstLineChars="0"/>
        <w:rPr>
          <w:rFonts w:ascii="Times New Roman" w:eastAsia="黑体" w:hAnsi="Times New Roman"/>
          <w:sz w:val="32"/>
          <w:szCs w:val="32"/>
        </w:rPr>
      </w:pPr>
      <w:r>
        <w:rPr>
          <w:rFonts w:ascii="Times New Roman" w:eastAsia="黑体" w:hAnsi="Times New Roman" w:hint="eastAsia"/>
          <w:sz w:val="32"/>
          <w:szCs w:val="32"/>
        </w:rPr>
        <w:t>政府性基金预算支出情况</w:t>
      </w:r>
    </w:p>
    <w:p w:rsidR="003B2E49" w:rsidRDefault="00A5413E">
      <w:pPr>
        <w:pStyle w:val="Style3"/>
        <w:widowControl/>
        <w:spacing w:line="500" w:lineRule="exact"/>
        <w:ind w:firstLine="640"/>
        <w:rPr>
          <w:rFonts w:ascii="仿宋" w:eastAsia="仿宋" w:hAnsi="仿宋" w:cs="仿宋"/>
          <w:sz w:val="32"/>
          <w:szCs w:val="32"/>
        </w:rPr>
      </w:pPr>
      <w:r>
        <w:rPr>
          <w:rFonts w:ascii="仿宋" w:eastAsia="仿宋" w:hAnsi="仿宋" w:cs="仿宋" w:hint="eastAsia"/>
          <w:sz w:val="32"/>
          <w:szCs w:val="32"/>
        </w:rPr>
        <w:t>政府性基金预算支出0万元。</w:t>
      </w:r>
    </w:p>
    <w:p w:rsidR="003B2E49" w:rsidRDefault="00A5413E">
      <w:pPr>
        <w:pStyle w:val="Style3"/>
        <w:widowControl/>
        <w:spacing w:line="500" w:lineRule="exact"/>
        <w:ind w:left="640" w:firstLineChars="0" w:firstLine="0"/>
        <w:rPr>
          <w:rFonts w:ascii="Times New Roman" w:eastAsia="黑体" w:hAnsi="Times New Roman"/>
          <w:color w:val="FF0000"/>
          <w:sz w:val="32"/>
          <w:szCs w:val="32"/>
        </w:rPr>
      </w:pPr>
      <w:r>
        <w:rPr>
          <w:rFonts w:ascii="Times New Roman" w:eastAsia="黑体" w:hAnsi="Times New Roman" w:hint="eastAsia"/>
          <w:sz w:val="32"/>
          <w:szCs w:val="32"/>
        </w:rPr>
        <w:t>四、</w:t>
      </w:r>
      <w:r>
        <w:rPr>
          <w:rFonts w:ascii="Times New Roman" w:eastAsia="黑体" w:hAnsi="Times New Roman" w:hint="eastAsia"/>
          <w:color w:val="000000" w:themeColor="text1"/>
          <w:sz w:val="32"/>
          <w:szCs w:val="32"/>
        </w:rPr>
        <w:t>国有资本经营预算支出情况</w:t>
      </w:r>
    </w:p>
    <w:p w:rsidR="003B2E49" w:rsidRDefault="00A5413E" w:rsidP="00EA75C5">
      <w:pPr>
        <w:pStyle w:val="a9"/>
        <w:widowControl/>
        <w:spacing w:line="500" w:lineRule="exact"/>
        <w:ind w:firstLineChars="228" w:firstLine="730"/>
        <w:jc w:val="left"/>
        <w:rPr>
          <w:rFonts w:ascii="仿宋" w:eastAsia="仿宋" w:hAnsi="仿宋" w:cs="仿宋"/>
          <w:sz w:val="32"/>
          <w:szCs w:val="32"/>
        </w:rPr>
      </w:pPr>
      <w:r>
        <w:rPr>
          <w:rFonts w:ascii="仿宋" w:eastAsia="仿宋" w:hAnsi="仿宋" w:cs="仿宋" w:hint="eastAsia"/>
          <w:sz w:val="32"/>
          <w:szCs w:val="32"/>
        </w:rPr>
        <w:lastRenderedPageBreak/>
        <w:t>2021年我院国有资本经营预算收入78.9万元，支出84.7万元，其中人员工资成本38.36万元，科研成本37.6万元，采购加工成本0万元，管理运行费用7.53万元，水电费用1.21万元。收支节余-5.8万元。</w:t>
      </w:r>
    </w:p>
    <w:p w:rsidR="003B2E49" w:rsidRDefault="00A5413E">
      <w:pPr>
        <w:pStyle w:val="Style3"/>
        <w:widowControl/>
        <w:spacing w:line="500" w:lineRule="exact"/>
        <w:ind w:left="630" w:firstLineChars="0" w:firstLine="0"/>
        <w:rPr>
          <w:rFonts w:ascii="Times New Roman" w:eastAsia="黑体" w:hAnsi="Times New Roman"/>
          <w:sz w:val="32"/>
          <w:szCs w:val="32"/>
        </w:rPr>
      </w:pPr>
      <w:r>
        <w:rPr>
          <w:rFonts w:ascii="Times New Roman" w:eastAsia="黑体" w:hAnsi="Times New Roman" w:hint="eastAsia"/>
          <w:sz w:val="32"/>
          <w:szCs w:val="32"/>
        </w:rPr>
        <w:t>五、保险基金预算支出情况</w:t>
      </w:r>
    </w:p>
    <w:p w:rsidR="003B2E49" w:rsidRDefault="00A5413E">
      <w:pPr>
        <w:pStyle w:val="Style3"/>
        <w:widowControl/>
        <w:spacing w:line="500" w:lineRule="exact"/>
        <w:ind w:left="640" w:firstLineChars="0" w:firstLine="0"/>
        <w:jc w:val="left"/>
        <w:rPr>
          <w:rFonts w:ascii="仿宋" w:eastAsia="仿宋" w:hAnsi="仿宋" w:cs="仿宋"/>
          <w:sz w:val="32"/>
          <w:szCs w:val="32"/>
        </w:rPr>
      </w:pPr>
      <w:r>
        <w:rPr>
          <w:rFonts w:ascii="仿宋" w:eastAsia="仿宋" w:hAnsi="仿宋" w:cs="仿宋" w:hint="eastAsia"/>
          <w:sz w:val="32"/>
          <w:szCs w:val="32"/>
        </w:rPr>
        <w:t>无。</w:t>
      </w:r>
    </w:p>
    <w:p w:rsidR="003B2E49" w:rsidRDefault="00A5413E">
      <w:pPr>
        <w:pStyle w:val="Style3"/>
        <w:widowControl/>
        <w:spacing w:line="500" w:lineRule="exact"/>
        <w:ind w:firstLine="640"/>
        <w:rPr>
          <w:rFonts w:ascii="Times New Roman" w:eastAsia="黑体" w:hAnsi="Times New Roman"/>
          <w:sz w:val="32"/>
          <w:szCs w:val="32"/>
        </w:rPr>
      </w:pPr>
      <w:r>
        <w:rPr>
          <w:rFonts w:ascii="Times New Roman" w:eastAsia="黑体" w:hAnsi="Times New Roman" w:hint="eastAsia"/>
          <w:sz w:val="32"/>
          <w:szCs w:val="32"/>
        </w:rPr>
        <w:t>六、部门（单位）整体支出</w:t>
      </w:r>
      <w:r>
        <w:rPr>
          <w:rFonts w:ascii="Times New Roman" w:eastAsia="黑体" w:hAnsi="Times New Roman" w:hint="eastAsia"/>
          <w:color w:val="000000"/>
          <w:sz w:val="32"/>
          <w:szCs w:val="32"/>
        </w:rPr>
        <w:t>绩</w:t>
      </w:r>
      <w:r>
        <w:rPr>
          <w:rFonts w:ascii="Times New Roman" w:eastAsia="黑体" w:hAnsi="Times New Roman" w:hint="eastAsia"/>
          <w:sz w:val="32"/>
          <w:szCs w:val="32"/>
        </w:rPr>
        <w:t>效情况</w:t>
      </w:r>
    </w:p>
    <w:p w:rsidR="003B2E49" w:rsidRDefault="00A5413E" w:rsidP="00EA75C5">
      <w:pPr>
        <w:spacing w:line="50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（一）谋全局、把方向，党的领导坚强有力</w:t>
      </w:r>
    </w:p>
    <w:p w:rsidR="003B2E49" w:rsidRDefault="00A5413E" w:rsidP="00EA75C5">
      <w:pPr>
        <w:spacing w:line="500" w:lineRule="exact"/>
        <w:ind w:firstLineChars="200" w:firstLine="643"/>
        <w:rPr>
          <w:rFonts w:ascii="仿宋" w:eastAsia="仿宋" w:hAnsi="仿宋" w:cs="仿宋"/>
          <w:sz w:val="32"/>
          <w:szCs w:val="32"/>
        </w:rPr>
      </w:pPr>
      <w:r>
        <w:rPr>
          <w:rFonts w:ascii="仿宋" w:eastAsia="仿宋" w:hAnsi="仿宋" w:cs="仿宋" w:hint="eastAsia"/>
          <w:b/>
          <w:bCs/>
          <w:sz w:val="32"/>
          <w:szCs w:val="32"/>
        </w:rPr>
        <w:t>1、深化主题教育，筑牢初心使命。</w:t>
      </w:r>
      <w:r>
        <w:rPr>
          <w:rFonts w:ascii="仿宋" w:eastAsia="仿宋" w:hAnsi="仿宋" w:cs="仿宋" w:hint="eastAsia"/>
          <w:sz w:val="32"/>
          <w:szCs w:val="32"/>
        </w:rPr>
        <w:t>全院紧扣“学党史、悟思想、办实事、开新局”主题，引导广大党员进一步增强“四个意识”、坚定“四个自信”、做到“两个维护”。积极响应“我为师生办实事”号召，搭建全院办公系统和科研管理信息系统。圆满完成张公坡村脱贫攻坚任务，开展驻汝城县暖水镇洪流村乡村振兴工作，划拨帮扶公益基金40万元。举办一系列庆祝建党100周年活动。</w:t>
      </w:r>
    </w:p>
    <w:p w:rsidR="003B2E49" w:rsidRDefault="00A5413E">
      <w:pPr>
        <w:spacing w:line="500" w:lineRule="exact"/>
        <w:ind w:firstLine="561"/>
        <w:rPr>
          <w:rFonts w:ascii="仿宋" w:eastAsia="仿宋" w:hAnsi="仿宋" w:cs="仿宋"/>
          <w:kern w:val="21"/>
          <w:sz w:val="32"/>
          <w:szCs w:val="32"/>
        </w:rPr>
      </w:pPr>
      <w:r>
        <w:rPr>
          <w:rFonts w:ascii="仿宋" w:eastAsia="仿宋" w:hAnsi="仿宋" w:cs="仿宋" w:hint="eastAsia"/>
          <w:b/>
          <w:bCs/>
          <w:sz w:val="32"/>
          <w:szCs w:val="32"/>
        </w:rPr>
        <w:t>2、加强队伍建设，优化人才资源。</w:t>
      </w:r>
      <w:r>
        <w:rPr>
          <w:rFonts w:ascii="仿宋" w:eastAsia="仿宋" w:hAnsi="仿宋" w:cs="仿宋" w:hint="eastAsia"/>
          <w:kern w:val="21"/>
          <w:sz w:val="32"/>
          <w:szCs w:val="32"/>
        </w:rPr>
        <w:t>落实领导干部个人有关事项报告制度，抽查如实报告率100%。公开招聘高层次和紧缺岗位人才6名，招收博士后2人。获批享受国务院政府特殊津贴专家2人。组织第四届国医大师、第二届全国名中医、省政府特殊津贴、岐黄学者、第七批全国老中医药专家学术经验指导老师和继承人、湖南省“神农人才”工程中医药领军人才和学科带头人培养、全国名老中医药专家传承工作室、全国中医护理骨干、第五批全国临床优秀人才等各类人才申报、遴选与推荐55人次。派出援藏专业技术人员2名。接收“西部之光”访问学者1名。</w:t>
      </w:r>
    </w:p>
    <w:p w:rsidR="003B2E49" w:rsidRDefault="00A5413E" w:rsidP="00EA75C5">
      <w:pPr>
        <w:spacing w:line="500" w:lineRule="exact"/>
        <w:ind w:firstLineChars="200" w:firstLine="643"/>
        <w:rPr>
          <w:rFonts w:ascii="仿宋" w:eastAsia="仿宋" w:hAnsi="仿宋" w:cs="仿宋"/>
          <w:sz w:val="32"/>
          <w:szCs w:val="32"/>
        </w:rPr>
      </w:pPr>
      <w:r>
        <w:rPr>
          <w:rFonts w:ascii="仿宋" w:eastAsia="仿宋" w:hAnsi="仿宋" w:cs="仿宋" w:hint="eastAsia"/>
          <w:b/>
          <w:bCs/>
          <w:sz w:val="32"/>
          <w:szCs w:val="32"/>
        </w:rPr>
        <w:t>3、抓牢纪法准绳，强化党风廉政。</w:t>
      </w:r>
      <w:r>
        <w:rPr>
          <w:rFonts w:ascii="仿宋" w:eastAsia="仿宋" w:hAnsi="仿宋" w:cs="仿宋" w:hint="eastAsia"/>
          <w:sz w:val="32"/>
          <w:szCs w:val="32"/>
        </w:rPr>
        <w:t>全面落实“两个责任”，开展黄惠勇违纪违法案警示教育和专题民主生活会。加强重点部门日常监督、重要时间节点监督、重点事项专项督查，全面开展干部选拔、人才招聘、职称评审、招标采购等日常监督。深入开展医疗行风建设专项整治，持续纠治“四风”。</w:t>
      </w:r>
    </w:p>
    <w:p w:rsidR="003B2E49" w:rsidRDefault="00A5413E" w:rsidP="00EA75C5">
      <w:pPr>
        <w:spacing w:line="500" w:lineRule="exact"/>
        <w:ind w:firstLineChars="200" w:firstLine="643"/>
        <w:rPr>
          <w:rFonts w:ascii="仿宋" w:eastAsia="仿宋" w:hAnsi="仿宋" w:cs="仿宋"/>
          <w:b/>
          <w:bCs/>
          <w:sz w:val="32"/>
          <w:szCs w:val="32"/>
        </w:rPr>
      </w:pPr>
      <w:r>
        <w:rPr>
          <w:rFonts w:ascii="仿宋" w:eastAsia="仿宋" w:hAnsi="仿宋" w:cs="仿宋" w:hint="eastAsia"/>
          <w:b/>
          <w:bCs/>
          <w:sz w:val="32"/>
          <w:szCs w:val="32"/>
          <w:lang w:val="zh-CN"/>
        </w:rPr>
        <w:t>（</w:t>
      </w:r>
      <w:r>
        <w:rPr>
          <w:rFonts w:ascii="仿宋" w:eastAsia="仿宋" w:hAnsi="仿宋" w:cs="仿宋" w:hint="eastAsia"/>
          <w:b/>
          <w:bCs/>
          <w:sz w:val="32"/>
          <w:szCs w:val="32"/>
        </w:rPr>
        <w:t>二</w:t>
      </w:r>
      <w:r>
        <w:rPr>
          <w:rFonts w:ascii="仿宋" w:eastAsia="仿宋" w:hAnsi="仿宋" w:cs="仿宋" w:hint="eastAsia"/>
          <w:b/>
          <w:bCs/>
          <w:sz w:val="32"/>
          <w:szCs w:val="32"/>
          <w:lang w:val="zh-CN"/>
        </w:rPr>
        <w:t>）</w:t>
      </w:r>
      <w:r>
        <w:rPr>
          <w:rFonts w:ascii="仿宋" w:eastAsia="仿宋" w:hAnsi="仿宋" w:cs="仿宋" w:hint="eastAsia"/>
          <w:b/>
          <w:bCs/>
          <w:sz w:val="32"/>
          <w:szCs w:val="32"/>
        </w:rPr>
        <w:t>聚合力、促发展，科技创新粲然可观</w:t>
      </w:r>
    </w:p>
    <w:p w:rsidR="003B2E49" w:rsidRDefault="00A5413E" w:rsidP="00EA75C5">
      <w:pPr>
        <w:spacing w:line="500" w:lineRule="exact"/>
        <w:ind w:firstLineChars="200" w:firstLine="643"/>
        <w:rPr>
          <w:rFonts w:ascii="仿宋" w:eastAsia="仿宋" w:hAnsi="仿宋" w:cs="仿宋"/>
          <w:sz w:val="32"/>
          <w:szCs w:val="32"/>
        </w:rPr>
      </w:pPr>
      <w:r>
        <w:rPr>
          <w:rFonts w:ascii="仿宋" w:eastAsia="仿宋" w:hAnsi="仿宋" w:cs="仿宋" w:hint="eastAsia"/>
          <w:b/>
          <w:bCs/>
          <w:sz w:val="32"/>
          <w:szCs w:val="32"/>
        </w:rPr>
        <w:t>项目平台建设持续发力。</w:t>
      </w:r>
      <w:r>
        <w:rPr>
          <w:rFonts w:ascii="仿宋" w:eastAsia="仿宋" w:hAnsi="仿宋" w:cs="仿宋" w:hint="eastAsia"/>
          <w:sz w:val="32"/>
          <w:szCs w:val="32"/>
        </w:rPr>
        <w:t>全年共申报各级各类科研项目449项，同比增加103项，其中</w:t>
      </w:r>
      <w:r>
        <w:rPr>
          <w:rFonts w:ascii="仿宋" w:eastAsia="仿宋" w:hAnsi="仿宋" w:cs="仿宋" w:hint="eastAsia"/>
          <w:color w:val="000000"/>
          <w:sz w:val="32"/>
          <w:szCs w:val="32"/>
        </w:rPr>
        <w:t>立项100项，同比增加16项：国家自然科学基金立项3项，省重点研发计划项目3项，省自然科学基金立项16项，中央财政国家</w:t>
      </w:r>
      <w:r>
        <w:rPr>
          <w:rFonts w:ascii="仿宋" w:eastAsia="仿宋" w:hAnsi="仿宋" w:cs="仿宋" w:hint="eastAsia"/>
          <w:color w:val="000000"/>
          <w:sz w:val="32"/>
          <w:szCs w:val="32"/>
        </w:rPr>
        <w:lastRenderedPageBreak/>
        <w:t>支持地方发展资金项目、省优秀博士后创新人才项目等5项。新获批湖南省中风病中医临床医学研究中心。挂牌成立“刘良院士专家工作站骨关节病研究中心”。</w:t>
      </w:r>
      <w:r>
        <w:rPr>
          <w:rFonts w:ascii="仿宋" w:eastAsia="仿宋" w:hAnsi="仿宋" w:cs="仿宋" w:hint="eastAsia"/>
          <w:sz w:val="32"/>
          <w:szCs w:val="32"/>
        </w:rPr>
        <w:t>基本完成我省第四次全国中药资源普查工作，研发湖南省中药资源普查成果管理系统，实现全省数据的查询、统计与应用全覆盖。《中国中药资源大典·湖南卷》入选国家出版基金，《湖南省重要中药资源评述》编写工作有序推进。</w:t>
      </w:r>
    </w:p>
    <w:p w:rsidR="003B2E49" w:rsidRDefault="00A5413E" w:rsidP="00EA75C5">
      <w:pPr>
        <w:spacing w:line="500" w:lineRule="exact"/>
        <w:ind w:firstLineChars="200" w:firstLine="643"/>
        <w:rPr>
          <w:rFonts w:ascii="仿宋" w:eastAsia="仿宋" w:hAnsi="仿宋" w:cs="仿宋"/>
          <w:sz w:val="32"/>
          <w:szCs w:val="32"/>
        </w:rPr>
      </w:pPr>
      <w:r>
        <w:rPr>
          <w:rFonts w:ascii="仿宋" w:eastAsia="仿宋" w:hAnsi="仿宋" w:cs="仿宋" w:hint="eastAsia"/>
          <w:b/>
          <w:bCs/>
          <w:sz w:val="32"/>
          <w:szCs w:val="32"/>
        </w:rPr>
        <w:t>成果奖励亮点纷呈。</w:t>
      </w:r>
      <w:r>
        <w:rPr>
          <w:rFonts w:ascii="仿宋" w:eastAsia="仿宋" w:hAnsi="仿宋" w:cs="仿宋" w:hint="eastAsia"/>
          <w:sz w:val="32"/>
          <w:szCs w:val="32"/>
        </w:rPr>
        <w:t>获省科技进步、中医药科技奖、中国中西医结合学会科学技术奖、第十届湖南省优秀科普作品优秀奖等各类奖项17项。授权国家发明专利15项，实用新型专利32项，软件著作权登记4项，取得医院制剂备案号13个，新产品证书2个，出版专著15部，发表论文350余篇，其中SCI论文33篇。</w:t>
      </w:r>
    </w:p>
    <w:p w:rsidR="003B2E49" w:rsidRDefault="00A5413E" w:rsidP="00EA75C5">
      <w:pPr>
        <w:spacing w:line="500" w:lineRule="exact"/>
        <w:ind w:firstLineChars="200" w:firstLine="643"/>
        <w:rPr>
          <w:rFonts w:ascii="仿宋" w:eastAsia="仿宋" w:hAnsi="仿宋" w:cs="仿宋"/>
          <w:sz w:val="32"/>
          <w:szCs w:val="32"/>
        </w:rPr>
      </w:pPr>
      <w:r>
        <w:rPr>
          <w:rFonts w:ascii="仿宋" w:eastAsia="仿宋" w:hAnsi="仿宋" w:cs="仿宋" w:hint="eastAsia"/>
          <w:b/>
          <w:bCs/>
          <w:sz w:val="32"/>
          <w:szCs w:val="32"/>
        </w:rPr>
        <w:t>开发合作能力突飞猛进。</w:t>
      </w:r>
      <w:r>
        <w:rPr>
          <w:rFonts w:ascii="仿宋" w:eastAsia="仿宋" w:hAnsi="仿宋" w:cs="仿宋" w:hint="eastAsia"/>
          <w:sz w:val="32"/>
          <w:szCs w:val="32"/>
        </w:rPr>
        <w:t>签订技术合同84项，同比增加41项，增幅达100%；到账经费1597万元，同比增加771万元，增幅达93.48%。</w:t>
      </w:r>
    </w:p>
    <w:p w:rsidR="003B2E49" w:rsidRDefault="00A5413E" w:rsidP="00EA75C5">
      <w:pPr>
        <w:spacing w:line="50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（三）亮特色、惠民生，社会贡献成绩斐然</w:t>
      </w:r>
    </w:p>
    <w:p w:rsidR="003B2E49" w:rsidRDefault="00A5413E" w:rsidP="00EA75C5">
      <w:pPr>
        <w:spacing w:line="500" w:lineRule="exact"/>
        <w:ind w:firstLineChars="200" w:firstLine="643"/>
        <w:rPr>
          <w:rFonts w:ascii="仿宋" w:eastAsia="仿宋" w:hAnsi="仿宋" w:cs="仿宋"/>
          <w:sz w:val="32"/>
          <w:szCs w:val="32"/>
        </w:rPr>
      </w:pPr>
      <w:r>
        <w:rPr>
          <w:rFonts w:ascii="仿宋" w:eastAsia="仿宋" w:hAnsi="仿宋" w:cs="仿宋" w:hint="eastAsia"/>
          <w:b/>
          <w:bCs/>
          <w:color w:val="000000"/>
          <w:sz w:val="32"/>
          <w:szCs w:val="32"/>
        </w:rPr>
        <w:t>1、深耕医疗特色，提升服务水平。</w:t>
      </w:r>
      <w:r>
        <w:rPr>
          <w:rFonts w:ascii="仿宋" w:eastAsia="仿宋" w:hAnsi="仿宋" w:cs="仿宋" w:hint="eastAsia"/>
          <w:sz w:val="32"/>
          <w:szCs w:val="32"/>
          <w:lang w:val="zh-CN"/>
        </w:rPr>
        <w:t>附属医院全年门急诊人次36.13万，同比增长9.08 %；住院人次 3.19万，同比增长13.12 %；药品收入3.33 亿元，同比增长16.02%；中药类收入1.7亿元，制剂产值0.50亿元，中草药占医疗收入比例由去年同期的24.33%上升至今年的25.67%。</w:t>
      </w:r>
      <w:r>
        <w:rPr>
          <w:rFonts w:ascii="仿宋" w:eastAsia="仿宋" w:hAnsi="仿宋" w:cs="仿宋" w:hint="eastAsia"/>
          <w:sz w:val="32"/>
          <w:szCs w:val="32"/>
        </w:rPr>
        <w:t>完成湖南省大型医院巡查和三级甲等中西医结合医院巡查，变更医院类别为中西医结合医院。完成三级公立医院绩效考核。积极组织申报国家中西医结合旗舰医院项目。做好对口帮扶工作和健康促进医院建设。发展中医肿瘤医联体成员单位，搭建医联体服务平台。推进PET-CT落地并开展试营业。加强专科护士队伍建设。定期重点检查抗菌药、中成药注射剂、质子泵抑制剂使用情况，完成22种重点药物调查。组织专家团队进行线上线下健康科普宣传活动22场。做好转诊服务工作，共计转诊门诊患者1200人、住院患者790人，服务全国各地患者达3.6万人次。</w:t>
      </w:r>
    </w:p>
    <w:p w:rsidR="003B2E49" w:rsidRDefault="00A5413E" w:rsidP="00EA75C5">
      <w:pPr>
        <w:adjustRightInd w:val="0"/>
        <w:snapToGrid w:val="0"/>
        <w:spacing w:line="500" w:lineRule="exact"/>
        <w:ind w:firstLineChars="218" w:firstLine="700"/>
        <w:rPr>
          <w:rFonts w:ascii="仿宋" w:eastAsia="仿宋" w:hAnsi="仿宋" w:cs="仿宋"/>
          <w:sz w:val="32"/>
          <w:szCs w:val="32"/>
        </w:rPr>
      </w:pPr>
      <w:r>
        <w:rPr>
          <w:rFonts w:ascii="仿宋" w:eastAsia="仿宋" w:hAnsi="仿宋" w:cs="仿宋" w:hint="eastAsia"/>
          <w:b/>
          <w:bCs/>
          <w:color w:val="000000"/>
          <w:sz w:val="32"/>
          <w:szCs w:val="32"/>
        </w:rPr>
        <w:t>2、加快产业升级，促进业务发展。</w:t>
      </w:r>
      <w:r>
        <w:rPr>
          <w:rFonts w:ascii="仿宋" w:eastAsia="仿宋" w:hAnsi="仿宋" w:cs="仿宋" w:hint="eastAsia"/>
          <w:sz w:val="32"/>
          <w:szCs w:val="32"/>
        </w:rPr>
        <w:t>国华公司新生产基地落户宁乡经开区。签订了土地成交确认书、建设土地使用权出让合同，完成了土地总价款、交易服务费及契税印花税的缴纳，获得了建设用地产权证书。全年共完成7个品种16个品规合计261批次的生产。完成原料、辅料等各类检测项目2447</w:t>
      </w:r>
      <w:r>
        <w:rPr>
          <w:rFonts w:ascii="仿宋" w:eastAsia="仿宋" w:hAnsi="仿宋" w:cs="仿宋" w:hint="eastAsia"/>
          <w:sz w:val="32"/>
          <w:szCs w:val="32"/>
        </w:rPr>
        <w:lastRenderedPageBreak/>
        <w:t>批次，中间品、成品合格率100%。成功获得高新技术企业证书。修订了“伤痛宁胶囊”药品注册标准，制订了“人参补气胶囊”等产品的工艺变更计划，完成了“复方菝葜颗粒”的一次性成型制粒等工艺改进，以及“天麻首乌片”“通关藤片”等品种的流浸膏带式干燥、干法制粒和压片的小试研究。</w:t>
      </w:r>
    </w:p>
    <w:p w:rsidR="003B2E49" w:rsidRDefault="00A5413E" w:rsidP="00EA75C5">
      <w:pPr>
        <w:pStyle w:val="a5"/>
        <w:spacing w:line="500" w:lineRule="exact"/>
        <w:ind w:firstLineChars="200" w:firstLine="643"/>
        <w:rPr>
          <w:rFonts w:ascii="仿宋" w:eastAsia="仿宋" w:hAnsi="仿宋" w:cs="仿宋"/>
          <w:sz w:val="32"/>
          <w:szCs w:val="32"/>
        </w:rPr>
      </w:pPr>
      <w:r>
        <w:rPr>
          <w:rFonts w:ascii="仿宋" w:eastAsia="仿宋" w:hAnsi="仿宋" w:cs="仿宋" w:hint="eastAsia"/>
          <w:b/>
          <w:bCs/>
          <w:color w:val="000000"/>
          <w:sz w:val="32"/>
          <w:szCs w:val="32"/>
        </w:rPr>
        <w:t>3、传承文化精粹，赓续中医药力量。</w:t>
      </w:r>
      <w:r>
        <w:rPr>
          <w:rFonts w:ascii="仿宋" w:eastAsia="仿宋" w:hAnsi="仿宋" w:cs="仿宋" w:hint="eastAsia"/>
          <w:sz w:val="32"/>
          <w:szCs w:val="32"/>
        </w:rPr>
        <w:t>积极开展全国中医药文化宣传教育基地、省中医药科普基地项目建设。编辑出版了《中医经典故事绘本》丛书。开发完成中医古籍在线加工系统，构建中医典籍数据库，数字化扫描院藏古籍《伤寒杂病论集注》全套，实现在线可查、可读、可听。完成《刘炳凡脾胃学说传承》的编辑，提供查新检索服务234项。出版发行《湖南中医杂志》正刊12期，中国知网影响力跨入Q2区，影响力指数排名第61位，复合影响因子达0.796，并荣获“中华中医药学会编校质量优秀期刊奖”。</w:t>
      </w:r>
    </w:p>
    <w:p w:rsidR="003B2E49" w:rsidRDefault="00A5413E" w:rsidP="00EA75C5">
      <w:pPr>
        <w:spacing w:line="500" w:lineRule="exact"/>
        <w:ind w:firstLineChars="200" w:firstLine="643"/>
        <w:rPr>
          <w:rFonts w:ascii="仿宋" w:eastAsia="仿宋" w:hAnsi="仿宋" w:cs="仿宋"/>
          <w:b/>
          <w:bCs/>
          <w:sz w:val="32"/>
          <w:szCs w:val="32"/>
        </w:rPr>
      </w:pPr>
      <w:r>
        <w:rPr>
          <w:rFonts w:ascii="仿宋" w:eastAsia="仿宋" w:hAnsi="仿宋" w:cs="仿宋" w:hint="eastAsia"/>
          <w:b/>
          <w:bCs/>
          <w:color w:val="000000"/>
          <w:sz w:val="32"/>
          <w:szCs w:val="32"/>
        </w:rPr>
        <w:t>4、注重教育质量，培育时代新人。</w:t>
      </w:r>
      <w:r>
        <w:rPr>
          <w:rFonts w:ascii="仿宋" w:eastAsia="仿宋" w:hAnsi="仿宋" w:cs="仿宋" w:hint="eastAsia"/>
          <w:sz w:val="32"/>
          <w:szCs w:val="32"/>
        </w:rPr>
        <w:t>录取博士研究生7人，硕士研究生89人。完成2021届74名研究生毕业答辩和学位申请工作。顺利完成2021年新增导师遴选。完成本科课程教学、实习生教学、临床后期教学、继续教育等。对375名规培学员按教学计划进行轮科培训，承担了232名规培学员技能考核工作。</w:t>
      </w:r>
    </w:p>
    <w:p w:rsidR="003B2E49" w:rsidRDefault="00A5413E" w:rsidP="00EA75C5">
      <w:pPr>
        <w:spacing w:line="50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（四）释活力、强主业，综合治理卓有成效</w:t>
      </w:r>
    </w:p>
    <w:p w:rsidR="003B2E49" w:rsidRDefault="00A5413E" w:rsidP="00EA75C5">
      <w:pPr>
        <w:spacing w:line="500" w:lineRule="exact"/>
        <w:ind w:firstLineChars="200" w:firstLine="643"/>
        <w:rPr>
          <w:rStyle w:val="NormalCharacter"/>
          <w:color w:val="000000"/>
          <w:kern w:val="22"/>
        </w:rPr>
      </w:pPr>
      <w:r>
        <w:rPr>
          <w:rFonts w:ascii="仿宋" w:eastAsia="仿宋" w:hAnsi="仿宋" w:cs="仿宋" w:hint="eastAsia"/>
          <w:b/>
          <w:bCs/>
          <w:sz w:val="32"/>
          <w:szCs w:val="32"/>
        </w:rPr>
        <w:t>1、顺利推进枫林并入。</w:t>
      </w:r>
      <w:r>
        <w:rPr>
          <w:rFonts w:ascii="仿宋" w:eastAsia="仿宋" w:hAnsi="仿宋" w:cs="仿宋" w:hint="eastAsia"/>
          <w:sz w:val="32"/>
          <w:szCs w:val="32"/>
        </w:rPr>
        <w:t>抓住枫林宾馆改制机遇，积极争取省委省政府支持，</w:t>
      </w:r>
      <w:r>
        <w:rPr>
          <w:rStyle w:val="NormalCharacter"/>
          <w:rFonts w:ascii="仿宋" w:eastAsia="仿宋" w:hAnsi="仿宋" w:cs="仿宋" w:hint="eastAsia"/>
          <w:color w:val="000000"/>
          <w:kern w:val="22"/>
          <w:sz w:val="32"/>
          <w:szCs w:val="32"/>
        </w:rPr>
        <w:t>建立联合工作机制，成立工作专班，开展多方调研考察。</w:t>
      </w:r>
      <w:r>
        <w:rPr>
          <w:rStyle w:val="NormalCharacter"/>
          <w:rFonts w:ascii="仿宋" w:eastAsia="仿宋" w:hAnsi="仿宋" w:cs="仿宋" w:hint="eastAsia"/>
          <w:sz w:val="32"/>
          <w:szCs w:val="32"/>
        </w:rPr>
        <w:t>完成枫林宾馆398人整体划入工作，</w:t>
      </w:r>
      <w:r>
        <w:rPr>
          <w:rFonts w:ascii="仿宋" w:eastAsia="仿宋" w:hAnsi="仿宋" w:cs="仿宋" w:hint="eastAsia"/>
          <w:sz w:val="32"/>
          <w:szCs w:val="32"/>
        </w:rPr>
        <w:t>缴清了历年所欠枫林在职职工和退休人员工资等经济补偿费用。妥善安置聘用人员200余人，完成</w:t>
      </w:r>
      <w:r>
        <w:rPr>
          <w:rStyle w:val="NormalCharacter"/>
          <w:rFonts w:ascii="仿宋" w:eastAsia="仿宋" w:hAnsi="仿宋" w:cs="仿宋" w:hint="eastAsia"/>
          <w:color w:val="000000"/>
          <w:kern w:val="22"/>
          <w:sz w:val="32"/>
          <w:szCs w:val="32"/>
        </w:rPr>
        <w:t>财务、资产承接。</w:t>
      </w:r>
    </w:p>
    <w:p w:rsidR="003B2E49" w:rsidRDefault="00A5413E" w:rsidP="00EA75C5">
      <w:pPr>
        <w:spacing w:line="500" w:lineRule="exact"/>
        <w:ind w:firstLineChars="200" w:firstLine="643"/>
      </w:pPr>
      <w:r>
        <w:rPr>
          <w:rFonts w:ascii="仿宋" w:eastAsia="仿宋" w:hAnsi="仿宋" w:cs="仿宋" w:hint="eastAsia"/>
          <w:b/>
          <w:bCs/>
          <w:sz w:val="32"/>
          <w:szCs w:val="32"/>
        </w:rPr>
        <w:t>2、稳妥推进中医药传承创新大楼建设。</w:t>
      </w:r>
      <w:r>
        <w:rPr>
          <w:rFonts w:ascii="仿宋" w:eastAsia="仿宋" w:hAnsi="仿宋" w:cs="仿宋" w:hint="eastAsia"/>
          <w:sz w:val="32"/>
          <w:szCs w:val="32"/>
        </w:rPr>
        <w:t>大楼主体于2021年9月顺利封顶。目前已完成墙体砌筑、斜屋面装饰瓦安装、屋顶防水保温改性和人防工程，累计完成投资9399.34万元，占大楼建设投资59.49%，已支付7299.51万元。</w:t>
      </w:r>
    </w:p>
    <w:p w:rsidR="003B2E49" w:rsidRDefault="00A5413E">
      <w:pPr>
        <w:spacing w:line="500" w:lineRule="exact"/>
        <w:ind w:firstLine="561"/>
        <w:rPr>
          <w:rFonts w:ascii="Times New Roman" w:eastAsia="黑体" w:hAnsi="Times New Roman" w:cs="Times New Roman"/>
          <w:sz w:val="32"/>
          <w:szCs w:val="32"/>
        </w:rPr>
      </w:pPr>
      <w:r>
        <w:rPr>
          <w:rFonts w:ascii="仿宋" w:eastAsia="仿宋" w:hAnsi="仿宋" w:cs="仿宋" w:hint="eastAsia"/>
          <w:b/>
          <w:bCs/>
          <w:sz w:val="32"/>
          <w:szCs w:val="32"/>
        </w:rPr>
        <w:t>3、有序推进疫情防控。</w:t>
      </w:r>
      <w:r>
        <w:rPr>
          <w:rFonts w:ascii="仿宋" w:eastAsia="仿宋" w:hAnsi="仿宋" w:cs="仿宋" w:hint="eastAsia"/>
          <w:sz w:val="32"/>
          <w:szCs w:val="32"/>
        </w:rPr>
        <w:t>持续落实疫情常态化防控机制，在全院范围内始终坚持“日报告、零报告”制度。与社区、街道、疾控保持密切联系，及时掌握防控要求，确保防控措施上下通畅。“5+2”模式安排值班，确保责任到人，责任到点。积极宣传发动，推进疫苗接种，全院新冠疫苗接种</w:t>
      </w:r>
      <w:r>
        <w:rPr>
          <w:rFonts w:ascii="仿宋" w:eastAsia="仿宋" w:hAnsi="仿宋" w:cs="仿宋" w:hint="eastAsia"/>
          <w:sz w:val="32"/>
          <w:szCs w:val="32"/>
        </w:rPr>
        <w:lastRenderedPageBreak/>
        <w:t>率94% 。</w:t>
      </w:r>
    </w:p>
    <w:p w:rsidR="003B2E49" w:rsidRDefault="00A5413E" w:rsidP="00EA75C5">
      <w:pPr>
        <w:spacing w:line="50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（五）强化财务管理，单位财产保值增值</w:t>
      </w:r>
    </w:p>
    <w:p w:rsidR="003B2E49" w:rsidRDefault="00A5413E" w:rsidP="00EA75C5">
      <w:pPr>
        <w:pStyle w:val="2"/>
        <w:spacing w:line="500" w:lineRule="exact"/>
        <w:ind w:firstLineChars="200" w:firstLine="643"/>
        <w:rPr>
          <w:rFonts w:ascii="仿宋" w:eastAsia="仿宋" w:hAnsi="仿宋" w:cs="仿宋"/>
          <w:szCs w:val="32"/>
        </w:rPr>
      </w:pPr>
      <w:r>
        <w:rPr>
          <w:rFonts w:ascii="仿宋" w:eastAsia="仿宋" w:hAnsi="仿宋" w:cs="仿宋" w:hint="eastAsia"/>
          <w:b/>
          <w:bCs/>
          <w:kern w:val="0"/>
          <w:szCs w:val="32"/>
        </w:rPr>
        <w:t>1、</w:t>
      </w:r>
      <w:r>
        <w:rPr>
          <w:rFonts w:ascii="仿宋" w:eastAsia="仿宋" w:hAnsi="仿宋" w:cs="仿宋" w:hint="eastAsia"/>
          <w:b/>
          <w:bCs/>
          <w:szCs w:val="32"/>
        </w:rPr>
        <w:t>克服疫情影响，经济发展稳中有进。</w:t>
      </w:r>
      <w:r>
        <w:rPr>
          <w:rFonts w:ascii="仿宋" w:eastAsia="仿宋" w:hAnsi="仿宋" w:cs="仿宋" w:hint="eastAsia"/>
          <w:kern w:val="0"/>
          <w:szCs w:val="32"/>
        </w:rPr>
        <w:t>2021年全院实现总收入7.238亿元（含2019年中医药传承创新工程建设项目结转资金财政收回重新安排资金1170.2万元），较上年同比减少2.41%，其中事业收入6.297亿元，同比增长8.91%，另外上年结转结余6852万元。全年总支出7.928亿元，同比增长28.53%。全年收支结余-46.38万元，其中项目结转结余3679万元，一般基本支出结余-3725.4万元。收入减少的主要原因是财政专项资金拨款减少。支出增加的主要原因一是中医传承创新工程建设项目进入热身期，于2021年9月封顶正进入全面装修装饰阶段，所耗支出5188.6万元；二是枫林宾馆并入支付其历年所欠职员费用和清退临聘职员所需费用共计2670万元。“三公”经费支出情况：财政性资金支出“三公”经费为0元。创收性资金支出“三公”经费如下：公务接待费0.87万元，1.77万元，较上年减少0.9万元；因公出国（境）费用0元；公务用车运行维护费25.86万元，较上年减少3.84万元。</w:t>
      </w:r>
      <w:r>
        <w:rPr>
          <w:rFonts w:ascii="仿宋" w:eastAsia="仿宋" w:hAnsi="仿宋" w:cs="仿宋" w:hint="eastAsia"/>
          <w:szCs w:val="32"/>
        </w:rPr>
        <w:t>进一步贯彻落实中央“八项规定”和湖南省委“九条规定”，建立本部门“三公经费”等公务支出管理制度及厉行节约制度，加强了经费审批和控制，规范支出标准与范围，并严格执行。</w:t>
      </w:r>
    </w:p>
    <w:p w:rsidR="003B2E49" w:rsidRDefault="00A5413E">
      <w:pPr>
        <w:spacing w:line="500" w:lineRule="exact"/>
        <w:ind w:firstLine="561"/>
        <w:rPr>
          <w:rFonts w:ascii="仿宋" w:eastAsia="仿宋" w:hAnsi="仿宋" w:cs="仿宋"/>
          <w:b/>
          <w:bCs/>
          <w:sz w:val="32"/>
          <w:szCs w:val="32"/>
        </w:rPr>
      </w:pPr>
      <w:r>
        <w:rPr>
          <w:rFonts w:ascii="仿宋" w:eastAsia="仿宋" w:hAnsi="仿宋" w:cs="仿宋" w:hint="eastAsia"/>
          <w:b/>
          <w:bCs/>
          <w:sz w:val="32"/>
          <w:szCs w:val="32"/>
        </w:rPr>
        <w:t>2、强化财务管理，使单位财产保值增值</w:t>
      </w:r>
    </w:p>
    <w:p w:rsidR="003B2E49" w:rsidRDefault="00A5413E" w:rsidP="00EA75C5">
      <w:pPr>
        <w:spacing w:line="500" w:lineRule="exact"/>
        <w:ind w:firstLineChars="200" w:firstLine="643"/>
        <w:rPr>
          <w:rFonts w:ascii="仿宋" w:eastAsia="仿宋" w:hAnsi="仿宋" w:cs="仿宋"/>
          <w:sz w:val="32"/>
          <w:szCs w:val="32"/>
        </w:rPr>
      </w:pPr>
      <w:r>
        <w:rPr>
          <w:rFonts w:ascii="仿宋" w:eastAsia="仿宋" w:hAnsi="仿宋" w:cs="仿宋" w:hint="eastAsia"/>
          <w:b/>
          <w:bCs/>
          <w:sz w:val="32"/>
          <w:szCs w:val="32"/>
        </w:rPr>
        <w:t>（1）强化财务预算管理。</w:t>
      </w:r>
      <w:r>
        <w:rPr>
          <w:rFonts w:ascii="仿宋" w:eastAsia="仿宋" w:hAnsi="仿宋" w:cs="仿宋" w:hint="eastAsia"/>
          <w:sz w:val="32"/>
          <w:szCs w:val="32"/>
        </w:rPr>
        <w:t>本着“广开财源，厉行节约，精打细算，确保职工薪酬逐步提高、科研、医疗顺利开展、专项建设资金充分保障、非业务开支进一步降低，规范职能事务管理工作，提高服务质量，降低运行成本，合理配置资源，保障单位各项业务的有效运转”的原则，科学精细编制2021年度财务预算。预算编制依据充分、数据详实、细化可行，基础信息完善、数据更新及时、依据真实完整。人员经费按照配置定额，逐人核定编制，公用经费分类分档，按定额编制。根据“总量控制、计划管理”的要求从严控制行政经费，压缩公务费开支。刚性执行财务预算，严禁无预算、超预算的支出，维护预算的严肃性和权威性。严格执行预算调整制度，坚持权限预算调整制度。加强预算执行的有效监控。9月份起严密跟踪、统计分析预算执行情况，督促加快资金的合规使用，从而加快业务工</w:t>
      </w:r>
      <w:r>
        <w:rPr>
          <w:rFonts w:ascii="仿宋" w:eastAsia="仿宋" w:hAnsi="仿宋" w:cs="仿宋" w:hint="eastAsia"/>
          <w:sz w:val="32"/>
          <w:szCs w:val="32"/>
        </w:rPr>
        <w:lastRenderedPageBreak/>
        <w:t>作的开展和项目的建设。</w:t>
      </w:r>
    </w:p>
    <w:p w:rsidR="003B2E49" w:rsidRDefault="00A5413E" w:rsidP="00EA75C5">
      <w:pPr>
        <w:spacing w:line="500" w:lineRule="exact"/>
        <w:ind w:firstLineChars="200" w:firstLine="643"/>
        <w:rPr>
          <w:rFonts w:ascii="仿宋" w:eastAsia="仿宋" w:hAnsi="仿宋" w:cs="仿宋"/>
          <w:sz w:val="32"/>
          <w:szCs w:val="32"/>
        </w:rPr>
      </w:pPr>
      <w:r>
        <w:rPr>
          <w:rFonts w:ascii="仿宋" w:eastAsia="仿宋" w:hAnsi="仿宋" w:cs="仿宋" w:hint="eastAsia"/>
          <w:b/>
          <w:bCs/>
          <w:sz w:val="32"/>
          <w:szCs w:val="32"/>
        </w:rPr>
        <w:t>（2）依法依规办事，规范资金管理。</w:t>
      </w:r>
      <w:r>
        <w:rPr>
          <w:rFonts w:ascii="仿宋" w:eastAsia="仿宋" w:hAnsi="仿宋" w:cs="仿宋" w:hint="eastAsia"/>
          <w:sz w:val="32"/>
          <w:szCs w:val="32"/>
        </w:rPr>
        <w:t>我院资金的使用要求完全符合国家财经法规和财务管理制度规定以及有关专项资金管理办法的规定。严格执行权限报账审批制度，资金的支付严格按照完整的审批程序和手续，项目支出按规定经过评估和论证，资金使用无截流、挤占、挪用、虚列支出等情况。财政性资产的配置严格执行政府采购，创收性资产的配置严格单位制定的公开招标采购办法采购，按照预算科目和项目资金的规定使用资金和入账管理，保障单位整体支出的规范化、制度化。按照国家相关法律法规，结合单位的实际，制定并完善有关工资福利、物资设备购置使用、公务接待及用车、会务、培训、差旅、基本建设、科研专项资金等财务支出管理制度，并严格落实到位，防范财务风险，保障资金的安全完整和高效运行。</w:t>
      </w:r>
    </w:p>
    <w:p w:rsidR="003B2E49" w:rsidRDefault="00A5413E" w:rsidP="00EA75C5">
      <w:pPr>
        <w:spacing w:line="500" w:lineRule="exact"/>
        <w:ind w:firstLineChars="200" w:firstLine="643"/>
        <w:rPr>
          <w:rFonts w:ascii="仿宋" w:eastAsia="仿宋" w:hAnsi="仿宋" w:cs="仿宋"/>
          <w:sz w:val="32"/>
          <w:szCs w:val="32"/>
        </w:rPr>
      </w:pPr>
      <w:r>
        <w:rPr>
          <w:rFonts w:ascii="仿宋" w:eastAsia="仿宋" w:hAnsi="仿宋" w:cs="仿宋" w:hint="eastAsia"/>
          <w:b/>
          <w:bCs/>
          <w:sz w:val="32"/>
          <w:szCs w:val="32"/>
        </w:rPr>
        <w:t>（3）强化物质资产管理。</w:t>
      </w:r>
      <w:r>
        <w:rPr>
          <w:rFonts w:ascii="仿宋" w:eastAsia="仿宋" w:hAnsi="仿宋" w:cs="仿宋" w:hint="eastAsia"/>
          <w:sz w:val="32"/>
          <w:szCs w:val="32"/>
        </w:rPr>
        <w:t>我院建立健全了单位资产管理制度，对资产进行统一建账，统一核算管理。每件固定资产的购置都要经过申购报批→定点采购或公开招标采购→验收登记→资产入账→资产贴标的流程，实行资产贴标管理。资产的保管责任明确到具体使用部门或具体使用人。严格按照我院制定的《固定资产管理办法》的规定加强固定资产管理，及时登记、更新台账，加强资产卡片管理，按财政规定实行报废报批手续，严格物资的入出库管理，定期对各类实物资产进行全面盘点，确保账账、账实相符。</w:t>
      </w:r>
    </w:p>
    <w:p w:rsidR="003B2E49" w:rsidRDefault="00A5413E" w:rsidP="00EA75C5">
      <w:pPr>
        <w:pStyle w:val="a3"/>
        <w:spacing w:line="500" w:lineRule="exact"/>
        <w:ind w:firstLineChars="200" w:firstLine="643"/>
        <w:rPr>
          <w:rFonts w:ascii="仿宋" w:eastAsia="仿宋" w:hAnsi="仿宋" w:cs="仿宋"/>
          <w:sz w:val="32"/>
          <w:szCs w:val="32"/>
        </w:rPr>
      </w:pPr>
      <w:r>
        <w:rPr>
          <w:rFonts w:ascii="仿宋" w:eastAsia="仿宋" w:hAnsi="仿宋" w:cs="仿宋" w:hint="eastAsia"/>
          <w:b/>
          <w:bCs/>
          <w:sz w:val="32"/>
          <w:szCs w:val="32"/>
        </w:rPr>
        <w:t>（4）强化成本管理。</w:t>
      </w:r>
      <w:r>
        <w:rPr>
          <w:rFonts w:ascii="仿宋" w:eastAsia="仿宋" w:hAnsi="仿宋" w:cs="仿宋" w:hint="eastAsia"/>
          <w:sz w:val="32"/>
          <w:szCs w:val="32"/>
        </w:rPr>
        <w:t>我院二级单位附属医院，将业务科室成本支出纳入绩效考核范围，与职工绩效工资紧密相连，且影响力度更进一步增强，强化职工成本意识，将历行节约的理念贯穿到日常工作之始终，努力使单位资产保值增值。</w:t>
      </w:r>
    </w:p>
    <w:p w:rsidR="003B2E49" w:rsidRDefault="00A5413E">
      <w:pPr>
        <w:pStyle w:val="Style3"/>
        <w:widowControl/>
        <w:spacing w:line="500" w:lineRule="exact"/>
        <w:ind w:left="630" w:firstLineChars="0" w:firstLine="0"/>
        <w:rPr>
          <w:rFonts w:ascii="Times New Roman" w:eastAsia="黑体" w:hAnsi="Times New Roman"/>
          <w:sz w:val="32"/>
          <w:szCs w:val="32"/>
        </w:rPr>
      </w:pPr>
      <w:r>
        <w:rPr>
          <w:rFonts w:ascii="Times New Roman" w:eastAsia="黑体" w:hAnsi="Times New Roman" w:hint="eastAsia"/>
          <w:sz w:val="32"/>
          <w:szCs w:val="32"/>
        </w:rPr>
        <w:t>七、存在的问题及原因分析</w:t>
      </w:r>
    </w:p>
    <w:p w:rsidR="003B2E49" w:rsidRDefault="00A5413E">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1.某些专项资金财政拨付较晚，导致资金执行率不高。</w:t>
      </w:r>
    </w:p>
    <w:p w:rsidR="003B2E49" w:rsidRDefault="00A5413E" w:rsidP="00EA75C5">
      <w:pPr>
        <w:pStyle w:val="Style3"/>
        <w:widowControl/>
        <w:spacing w:line="500" w:lineRule="exact"/>
        <w:ind w:left="10" w:firstLineChars="193" w:firstLine="618"/>
        <w:rPr>
          <w:rFonts w:ascii="仿宋" w:eastAsia="仿宋" w:hAnsi="仿宋" w:cs="仿宋"/>
          <w:sz w:val="32"/>
          <w:szCs w:val="32"/>
        </w:rPr>
      </w:pPr>
      <w:r>
        <w:rPr>
          <w:rFonts w:ascii="仿宋" w:eastAsia="仿宋" w:hAnsi="仿宋" w:cs="仿宋" w:hint="eastAsia"/>
          <w:sz w:val="32"/>
          <w:szCs w:val="32"/>
        </w:rPr>
        <w:t>2.附属医院面向市场，受市场影响因素较多，收入预算较难，导致预算与执行存在偏差。</w:t>
      </w:r>
    </w:p>
    <w:p w:rsidR="003B2E49" w:rsidRDefault="00A5413E">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3.对绩效评价认识不足，项目申报时大多数未进行绩效目标的设定，导致绩效评价质量不高。绩效评价往往仅由财务人员参与，评价内容不够</w:t>
      </w:r>
      <w:r>
        <w:rPr>
          <w:rFonts w:ascii="仿宋" w:eastAsia="仿宋" w:hAnsi="仿宋" w:cs="仿宋" w:hint="eastAsia"/>
          <w:sz w:val="32"/>
          <w:szCs w:val="32"/>
        </w:rPr>
        <w:lastRenderedPageBreak/>
        <w:t>完整全面深入，各二级单位、部门及各项目负责人对绩效评价的重视程度有待进一步提高。</w:t>
      </w:r>
    </w:p>
    <w:p w:rsidR="003B2E49" w:rsidRDefault="00A5413E">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color w:val="000000"/>
          <w:sz w:val="32"/>
          <w:szCs w:val="32"/>
        </w:rPr>
        <w:t>领军人才缺乏，高层次人才和优秀青年人才总量不多，人才引培机制、评价机制、管理机制需进一步完善；科技创新能力不强，</w:t>
      </w:r>
      <w:r>
        <w:rPr>
          <w:rFonts w:ascii="仿宋" w:eastAsia="仿宋" w:hAnsi="仿宋" w:cs="仿宋" w:hint="eastAsia"/>
          <w:sz w:val="32"/>
          <w:szCs w:val="32"/>
        </w:rPr>
        <w:t>成果转化不够，</w:t>
      </w:r>
      <w:r>
        <w:rPr>
          <w:rFonts w:ascii="仿宋" w:eastAsia="仿宋" w:hAnsi="仿宋" w:cs="仿宋" w:hint="eastAsia"/>
          <w:color w:val="000000"/>
          <w:sz w:val="32"/>
          <w:szCs w:val="32"/>
        </w:rPr>
        <w:t>贡献度不高，服务社会经济能力不够；</w:t>
      </w:r>
      <w:r>
        <w:rPr>
          <w:rFonts w:ascii="仿宋" w:eastAsia="仿宋" w:hAnsi="仿宋" w:cs="仿宋" w:hint="eastAsia"/>
          <w:sz w:val="32"/>
          <w:szCs w:val="32"/>
        </w:rPr>
        <w:t>科研设备设施还较落后；</w:t>
      </w:r>
      <w:r>
        <w:rPr>
          <w:rFonts w:ascii="仿宋" w:eastAsia="仿宋" w:hAnsi="仿宋" w:cs="仿宋" w:hint="eastAsia"/>
          <w:color w:val="000000"/>
          <w:sz w:val="32"/>
          <w:szCs w:val="32"/>
        </w:rPr>
        <w:t>国家级高端科研平台、重大项目、重大成果亟待突破。</w:t>
      </w:r>
    </w:p>
    <w:p w:rsidR="003B2E49" w:rsidRDefault="00A5413E">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color w:val="000000"/>
          <w:sz w:val="32"/>
          <w:szCs w:val="32"/>
        </w:rPr>
        <w:t>进入国内知名、省内一流特色医疗专科的数量少，发展不平衡，特别是外科系统影响力不大；</w:t>
      </w:r>
      <w:r>
        <w:rPr>
          <w:rFonts w:ascii="仿宋" w:eastAsia="仿宋" w:hAnsi="仿宋" w:cs="仿宋" w:hint="eastAsia"/>
          <w:sz w:val="32"/>
          <w:szCs w:val="32"/>
        </w:rPr>
        <w:t>医疗功能不够完善，急诊抢救能力还比较薄弱。</w:t>
      </w:r>
    </w:p>
    <w:p w:rsidR="003B2E49" w:rsidRDefault="00A5413E">
      <w:pPr>
        <w:spacing w:line="500" w:lineRule="exact"/>
        <w:ind w:firstLineChars="200" w:firstLine="640"/>
        <w:rPr>
          <w:rFonts w:ascii="仿宋" w:eastAsia="仿宋" w:hAnsi="仿宋" w:cs="仿宋"/>
          <w:color w:val="000000"/>
          <w:sz w:val="32"/>
          <w:szCs w:val="32"/>
        </w:rPr>
      </w:pPr>
      <w:r>
        <w:rPr>
          <w:rFonts w:ascii="仿宋" w:eastAsia="仿宋" w:hAnsi="仿宋" w:cs="仿宋" w:hint="eastAsia"/>
          <w:sz w:val="32"/>
          <w:szCs w:val="32"/>
        </w:rPr>
        <w:t>6、附属医院以外的其他各所</w:t>
      </w:r>
      <w:r>
        <w:rPr>
          <w:rFonts w:ascii="仿宋" w:eastAsia="仿宋" w:hAnsi="仿宋" w:cs="仿宋" w:hint="eastAsia"/>
          <w:color w:val="000000"/>
          <w:sz w:val="32"/>
          <w:szCs w:val="32"/>
        </w:rPr>
        <w:t>绩效改革激活动力不足，“吃大锅饭”“平均主义”思想仍然存在。</w:t>
      </w:r>
    </w:p>
    <w:p w:rsidR="003B2E49" w:rsidRDefault="00A5413E">
      <w:pPr>
        <w:pStyle w:val="a3"/>
        <w:spacing w:line="500" w:lineRule="exact"/>
      </w:pPr>
      <w:r>
        <w:rPr>
          <w:rFonts w:ascii="仿宋" w:eastAsia="仿宋" w:hAnsi="仿宋" w:cs="仿宋" w:hint="eastAsia"/>
          <w:color w:val="000000"/>
          <w:sz w:val="32"/>
          <w:szCs w:val="32"/>
        </w:rPr>
        <w:t xml:space="preserve">    7、枫林宾馆并入，面临</w:t>
      </w:r>
      <w:r>
        <w:rPr>
          <w:rFonts w:ascii="仿宋" w:eastAsia="仿宋" w:hAnsi="仿宋" w:cs="仿宋" w:hint="eastAsia"/>
          <w:sz w:val="32"/>
          <w:szCs w:val="32"/>
        </w:rPr>
        <w:t>两院规划、</w:t>
      </w:r>
      <w:r>
        <w:rPr>
          <w:rFonts w:ascii="仿宋" w:eastAsia="仿宋" w:hAnsi="仿宋" w:cs="仿宋" w:hint="eastAsia"/>
          <w:color w:val="000000"/>
          <w:sz w:val="32"/>
          <w:szCs w:val="32"/>
        </w:rPr>
        <w:t>枫林房屋的改扩建和医疗设施设备的购建、人才引进等工作，建设资金短缺突显。</w:t>
      </w:r>
    </w:p>
    <w:p w:rsidR="003B2E49" w:rsidRDefault="00A5413E">
      <w:pPr>
        <w:pStyle w:val="Style3"/>
        <w:widowControl/>
        <w:spacing w:line="500" w:lineRule="exact"/>
        <w:ind w:left="630" w:firstLineChars="0" w:firstLine="0"/>
        <w:rPr>
          <w:rFonts w:ascii="Times New Roman" w:eastAsia="黑体" w:hAnsi="Times New Roman"/>
          <w:sz w:val="32"/>
          <w:szCs w:val="32"/>
        </w:rPr>
      </w:pPr>
      <w:r>
        <w:rPr>
          <w:rFonts w:ascii="Times New Roman" w:eastAsia="黑体" w:hAnsi="Times New Roman" w:hint="eastAsia"/>
          <w:sz w:val="32"/>
          <w:szCs w:val="32"/>
        </w:rPr>
        <w:t>八、下一步改进措施</w:t>
      </w:r>
    </w:p>
    <w:p w:rsidR="003B2E49" w:rsidRDefault="00A5413E" w:rsidP="00EA75C5">
      <w:pPr>
        <w:spacing w:line="50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1.进一步加强预算管理。</w:t>
      </w:r>
    </w:p>
    <w:p w:rsidR="003B2E49" w:rsidRDefault="00A5413E">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我院将进一步加强各单位的预算资金管理,减少预算资金使用的随意性,对预算的事前、事中、事后进行全过程控制,加大对预算编制与执行的监督管理力度,提高预算资金使用效率。同时，提高各单位、各部门人员对预算资金使用效益的认识，把预算资金是否发挥使用效益与各岗位是否履职尽责相结合,将预算资金使用的效率和效益作为对各岗位人员工作考核评价的重要内容之一，进一步加强预算的绩效管理。</w:t>
      </w:r>
    </w:p>
    <w:p w:rsidR="003B2E49" w:rsidRDefault="00A5413E" w:rsidP="00EA75C5">
      <w:pPr>
        <w:pStyle w:val="2"/>
        <w:spacing w:line="560" w:lineRule="exact"/>
        <w:ind w:firstLineChars="200" w:firstLine="643"/>
        <w:rPr>
          <w:rFonts w:ascii="仿宋" w:eastAsia="仿宋" w:hAnsi="仿宋" w:cs="仿宋"/>
          <w:b/>
          <w:bCs/>
          <w:color w:val="000000"/>
          <w:szCs w:val="32"/>
        </w:rPr>
      </w:pPr>
      <w:r>
        <w:rPr>
          <w:rFonts w:ascii="仿宋" w:eastAsia="仿宋" w:hAnsi="仿宋" w:cs="仿宋" w:hint="eastAsia"/>
          <w:b/>
          <w:bCs/>
          <w:color w:val="000000"/>
          <w:szCs w:val="32"/>
        </w:rPr>
        <w:t>2、全面抢抓重大战略机遇</w:t>
      </w:r>
    </w:p>
    <w:p w:rsidR="003B2E49" w:rsidRDefault="00A5413E" w:rsidP="00EA75C5">
      <w:pPr>
        <w:spacing w:line="560" w:lineRule="exact"/>
        <w:ind w:firstLineChars="200" w:firstLine="643"/>
        <w:rPr>
          <w:rFonts w:ascii="仿宋" w:eastAsia="仿宋" w:hAnsi="仿宋" w:cs="仿宋"/>
          <w:color w:val="000000"/>
          <w:sz w:val="32"/>
          <w:szCs w:val="32"/>
        </w:rPr>
      </w:pPr>
      <w:r>
        <w:rPr>
          <w:rFonts w:ascii="仿宋" w:eastAsia="仿宋" w:hAnsi="仿宋" w:cs="仿宋" w:hint="eastAsia"/>
          <w:b/>
          <w:bCs/>
          <w:color w:val="000000"/>
          <w:sz w:val="32"/>
          <w:szCs w:val="32"/>
        </w:rPr>
        <w:t>推进“中西医协同”行动。</w:t>
      </w:r>
      <w:r>
        <w:rPr>
          <w:rFonts w:ascii="仿宋" w:eastAsia="仿宋" w:hAnsi="仿宋" w:cs="仿宋" w:hint="eastAsia"/>
          <w:color w:val="000000"/>
          <w:sz w:val="32"/>
          <w:szCs w:val="32"/>
        </w:rPr>
        <w:t>着力健全中西医结合医疗服务体系，附属医院坚持“以中为主、中西结合”的特色优势，强化内涵建设，以高起点、高标准、高质量申报国家中西医结合旗舰医院。</w:t>
      </w:r>
    </w:p>
    <w:p w:rsidR="003B2E49" w:rsidRDefault="00A5413E" w:rsidP="00EA75C5">
      <w:pPr>
        <w:spacing w:line="560" w:lineRule="exact"/>
        <w:ind w:firstLineChars="200" w:firstLine="643"/>
        <w:rPr>
          <w:rFonts w:ascii="仿宋" w:eastAsia="仿宋" w:hAnsi="仿宋" w:cs="仿宋"/>
          <w:color w:val="000000"/>
          <w:sz w:val="32"/>
          <w:szCs w:val="32"/>
        </w:rPr>
      </w:pPr>
      <w:r>
        <w:rPr>
          <w:rFonts w:ascii="仿宋" w:eastAsia="仿宋" w:hAnsi="仿宋" w:cs="仿宋" w:hint="eastAsia"/>
          <w:b/>
          <w:bCs/>
          <w:color w:val="000000"/>
          <w:sz w:val="32"/>
          <w:szCs w:val="32"/>
        </w:rPr>
        <w:t>加入“科技创新高地”建设。</w:t>
      </w:r>
      <w:r>
        <w:rPr>
          <w:rFonts w:ascii="仿宋" w:eastAsia="仿宋" w:hAnsi="仿宋" w:cs="仿宋" w:hint="eastAsia"/>
          <w:color w:val="000000"/>
          <w:sz w:val="32"/>
          <w:szCs w:val="32"/>
        </w:rPr>
        <w:t>抓稳以创新型省份建设为总揽的“方向盘”，聚焦我院优势领域和学科，积极争取加入以芙蓉实验室为代表的一批前瞻引领、学科交叉、综合集成的重大创新平台建设，以报促建，推进我院高水平实验室的建设。</w:t>
      </w:r>
    </w:p>
    <w:p w:rsidR="003B2E49" w:rsidRDefault="00A5413E" w:rsidP="00EA75C5">
      <w:pPr>
        <w:spacing w:line="560" w:lineRule="exact"/>
        <w:ind w:firstLineChars="200" w:firstLine="643"/>
        <w:rPr>
          <w:rFonts w:ascii="仿宋" w:eastAsia="仿宋" w:hAnsi="仿宋" w:cs="仿宋"/>
          <w:color w:val="000000"/>
          <w:sz w:val="32"/>
          <w:szCs w:val="32"/>
        </w:rPr>
      </w:pPr>
      <w:r>
        <w:rPr>
          <w:rFonts w:ascii="仿宋" w:eastAsia="仿宋" w:hAnsi="仿宋" w:cs="仿宋" w:hint="eastAsia"/>
          <w:b/>
          <w:bCs/>
          <w:color w:val="000000"/>
          <w:sz w:val="32"/>
          <w:szCs w:val="32"/>
        </w:rPr>
        <w:t>融入“国家中医药综合改革示范区”建设。</w:t>
      </w:r>
      <w:r>
        <w:rPr>
          <w:rFonts w:ascii="仿宋" w:eastAsia="仿宋" w:hAnsi="仿宋" w:cs="仿宋" w:hint="eastAsia"/>
          <w:color w:val="000000"/>
          <w:sz w:val="32"/>
          <w:szCs w:val="32"/>
        </w:rPr>
        <w:t>通过改革创新、对标对表，</w:t>
      </w:r>
      <w:r>
        <w:rPr>
          <w:rFonts w:ascii="仿宋" w:eastAsia="仿宋" w:hAnsi="仿宋" w:cs="仿宋" w:hint="eastAsia"/>
          <w:color w:val="000000"/>
          <w:sz w:val="32"/>
          <w:szCs w:val="32"/>
        </w:rPr>
        <w:lastRenderedPageBreak/>
        <w:t>积极参与深化中医药管理体制机制改革等“四项改革”、中医药“服务提质”工程等“五大工程”、开展中医药服务“基层惠民”行动等“四项行动”的建设，加快建成高水平科技创新型研究院的步伐。</w:t>
      </w:r>
    </w:p>
    <w:p w:rsidR="003B2E49" w:rsidRDefault="00A5413E" w:rsidP="00EA75C5">
      <w:pPr>
        <w:pStyle w:val="2"/>
        <w:spacing w:line="560" w:lineRule="exact"/>
        <w:ind w:firstLineChars="200" w:firstLine="643"/>
        <w:rPr>
          <w:rFonts w:ascii="仿宋" w:eastAsia="仿宋" w:hAnsi="仿宋" w:cs="仿宋"/>
          <w:b/>
          <w:bCs/>
          <w:color w:val="000000"/>
          <w:szCs w:val="32"/>
        </w:rPr>
      </w:pPr>
      <w:r>
        <w:rPr>
          <w:rFonts w:ascii="仿宋" w:eastAsia="仿宋" w:hAnsi="仿宋" w:cs="仿宋" w:hint="eastAsia"/>
          <w:b/>
          <w:bCs/>
          <w:color w:val="000000"/>
          <w:szCs w:val="32"/>
        </w:rPr>
        <w:t>3、全面培塑高质量发展新优势</w:t>
      </w:r>
    </w:p>
    <w:p w:rsidR="003B2E49" w:rsidRDefault="00A5413E" w:rsidP="00EA75C5">
      <w:pPr>
        <w:spacing w:line="560" w:lineRule="exact"/>
        <w:ind w:firstLineChars="200" w:firstLine="643"/>
        <w:rPr>
          <w:rFonts w:ascii="仿宋" w:eastAsia="仿宋" w:hAnsi="仿宋" w:cs="仿宋"/>
          <w:color w:val="000000"/>
          <w:sz w:val="32"/>
          <w:szCs w:val="32"/>
        </w:rPr>
      </w:pPr>
      <w:r>
        <w:rPr>
          <w:rFonts w:ascii="仿宋" w:eastAsia="仿宋" w:hAnsi="仿宋" w:cs="仿宋" w:hint="eastAsia"/>
          <w:b/>
          <w:bCs/>
          <w:color w:val="000000"/>
          <w:sz w:val="32"/>
          <w:szCs w:val="32"/>
        </w:rPr>
        <w:t>创建科技创新大平台。</w:t>
      </w:r>
      <w:r>
        <w:rPr>
          <w:rFonts w:ascii="仿宋" w:eastAsia="仿宋" w:hAnsi="仿宋" w:cs="仿宋" w:hint="eastAsia"/>
          <w:color w:val="000000"/>
          <w:sz w:val="32"/>
          <w:szCs w:val="32"/>
        </w:rPr>
        <w:t>以打造中部地区中医药科技创新龙头为目标，</w:t>
      </w:r>
      <w:r>
        <w:rPr>
          <w:rFonts w:ascii="仿宋" w:eastAsia="仿宋" w:hAnsi="仿宋" w:cs="仿宋" w:hint="eastAsia"/>
          <w:sz w:val="32"/>
          <w:szCs w:val="32"/>
        </w:rPr>
        <w:t>明确研究方向，</w:t>
      </w:r>
      <w:r>
        <w:rPr>
          <w:rFonts w:ascii="仿宋" w:eastAsia="仿宋" w:hAnsi="仿宋" w:cs="仿宋" w:hint="eastAsia"/>
          <w:color w:val="000000"/>
          <w:sz w:val="32"/>
          <w:szCs w:val="32"/>
        </w:rPr>
        <w:t>科学谋划、布局，压茬推进国家级、省部级科研平台的申报与建设。争取成功申报1-2个省级科研平台，1-2个厅局级平台。</w:t>
      </w:r>
    </w:p>
    <w:p w:rsidR="003B2E49" w:rsidRDefault="00A5413E" w:rsidP="00EA75C5">
      <w:pPr>
        <w:spacing w:line="560" w:lineRule="exact"/>
        <w:ind w:firstLineChars="200" w:firstLine="643"/>
        <w:rPr>
          <w:rFonts w:ascii="仿宋" w:eastAsia="仿宋" w:hAnsi="仿宋" w:cs="仿宋"/>
          <w:color w:val="000000"/>
          <w:sz w:val="32"/>
          <w:szCs w:val="32"/>
        </w:rPr>
      </w:pPr>
      <w:r>
        <w:rPr>
          <w:rFonts w:ascii="仿宋" w:eastAsia="仿宋" w:hAnsi="仿宋" w:cs="仿宋" w:hint="eastAsia"/>
          <w:b/>
          <w:bCs/>
          <w:color w:val="000000"/>
          <w:sz w:val="32"/>
          <w:szCs w:val="32"/>
        </w:rPr>
        <w:t>争获高层次大项目。</w:t>
      </w:r>
      <w:r>
        <w:rPr>
          <w:rFonts w:ascii="仿宋" w:eastAsia="仿宋" w:hAnsi="仿宋" w:cs="仿宋" w:hint="eastAsia"/>
          <w:color w:val="000000"/>
          <w:sz w:val="32"/>
          <w:szCs w:val="32"/>
        </w:rPr>
        <w:t>做好国家级项目申报顶层设计和宏观布局，积极争取国家科技重大专项、国家自然科学基金等项目以及国家中医临床研究基地等国家重大科研平台，加大督促力度，扩大体量，提升质量，力争“国字头”项目平台有新突破，科研经费达到1000万元。</w:t>
      </w:r>
    </w:p>
    <w:p w:rsidR="003B2E49" w:rsidRDefault="00A5413E">
      <w:pPr>
        <w:spacing w:line="560" w:lineRule="exact"/>
        <w:ind w:right="156" w:firstLine="615"/>
        <w:rPr>
          <w:rFonts w:ascii="仿宋" w:eastAsia="仿宋" w:hAnsi="仿宋" w:cs="仿宋"/>
          <w:sz w:val="32"/>
          <w:szCs w:val="32"/>
        </w:rPr>
      </w:pPr>
      <w:r>
        <w:rPr>
          <w:rFonts w:ascii="仿宋" w:eastAsia="仿宋" w:hAnsi="仿宋" w:cs="仿宋" w:hint="eastAsia"/>
          <w:b/>
          <w:bCs/>
          <w:sz w:val="32"/>
          <w:szCs w:val="32"/>
        </w:rPr>
        <w:t>打造人才成长新生态。</w:t>
      </w:r>
      <w:r>
        <w:rPr>
          <w:rFonts w:ascii="仿宋" w:eastAsia="仿宋" w:hAnsi="仿宋" w:cs="仿宋" w:hint="eastAsia"/>
          <w:sz w:val="32"/>
          <w:szCs w:val="32"/>
        </w:rPr>
        <w:t>加强高层次人才引进和培养，涵养创新型人才“蓄水池”。打造高素质科研团队，实施科技团队培育、创新团队引进的“内培外引”战略。改革和建立健全人才评价机制，形成发展新动能。</w:t>
      </w:r>
    </w:p>
    <w:p w:rsidR="003B2E49" w:rsidRDefault="00A5413E" w:rsidP="00EA75C5">
      <w:pPr>
        <w:pStyle w:val="2"/>
        <w:spacing w:line="560" w:lineRule="exact"/>
        <w:ind w:firstLineChars="200" w:firstLine="643"/>
        <w:rPr>
          <w:rFonts w:ascii="仿宋" w:eastAsia="仿宋" w:hAnsi="仿宋" w:cs="仿宋"/>
          <w:b/>
          <w:bCs/>
          <w:color w:val="000000"/>
          <w:szCs w:val="32"/>
        </w:rPr>
      </w:pPr>
      <w:r>
        <w:rPr>
          <w:rFonts w:ascii="仿宋" w:eastAsia="仿宋" w:hAnsi="仿宋" w:cs="仿宋" w:hint="eastAsia"/>
          <w:b/>
          <w:bCs/>
          <w:color w:val="000000"/>
          <w:szCs w:val="32"/>
        </w:rPr>
        <w:t>4、全面提升社会服务能力</w:t>
      </w:r>
    </w:p>
    <w:p w:rsidR="003B2E49" w:rsidRDefault="00A5413E" w:rsidP="00EA75C5">
      <w:pPr>
        <w:spacing w:line="560" w:lineRule="exact"/>
        <w:ind w:firstLineChars="200" w:firstLine="643"/>
        <w:rPr>
          <w:rFonts w:ascii="仿宋" w:eastAsia="仿宋" w:hAnsi="仿宋" w:cs="仿宋"/>
          <w:color w:val="000000"/>
          <w:sz w:val="32"/>
          <w:szCs w:val="32"/>
        </w:rPr>
      </w:pPr>
      <w:r>
        <w:rPr>
          <w:rFonts w:ascii="仿宋" w:eastAsia="仿宋" w:hAnsi="仿宋" w:cs="仿宋" w:hint="eastAsia"/>
          <w:b/>
          <w:color w:val="000000"/>
          <w:sz w:val="32"/>
          <w:szCs w:val="32"/>
        </w:rPr>
        <w:t>进一步提升医疗服务能力。</w:t>
      </w:r>
      <w:r>
        <w:rPr>
          <w:rFonts w:ascii="仿宋" w:eastAsia="仿宋" w:hAnsi="仿宋" w:cs="仿宋" w:hint="eastAsia"/>
          <w:color w:val="000000"/>
          <w:sz w:val="32"/>
          <w:szCs w:val="32"/>
        </w:rPr>
        <w:t>大力推进国家中医肿瘤、老年病区域诊疗中心建设，争取建设5-10个特色专科专病培育项目。加快枫林宾馆并入后建设进度，积极申报湖南省中医药保健中心。</w:t>
      </w:r>
    </w:p>
    <w:p w:rsidR="003B2E49" w:rsidRDefault="00A5413E" w:rsidP="00EA75C5">
      <w:pPr>
        <w:spacing w:line="560" w:lineRule="exact"/>
        <w:ind w:firstLineChars="200" w:firstLine="643"/>
        <w:rPr>
          <w:rFonts w:ascii="仿宋" w:eastAsia="仿宋" w:hAnsi="仿宋" w:cs="仿宋"/>
          <w:color w:val="000000"/>
          <w:sz w:val="32"/>
          <w:szCs w:val="32"/>
        </w:rPr>
      </w:pPr>
      <w:r>
        <w:rPr>
          <w:rFonts w:ascii="仿宋" w:eastAsia="仿宋" w:hAnsi="仿宋" w:cs="仿宋" w:hint="eastAsia"/>
          <w:b/>
          <w:color w:val="000000"/>
          <w:sz w:val="32"/>
          <w:szCs w:val="32"/>
        </w:rPr>
        <w:t>进一步</w:t>
      </w:r>
      <w:r>
        <w:rPr>
          <w:rFonts w:ascii="仿宋" w:eastAsia="仿宋" w:hAnsi="仿宋" w:cs="仿宋" w:hint="eastAsia"/>
          <w:b/>
          <w:bCs/>
          <w:color w:val="000000"/>
          <w:sz w:val="32"/>
          <w:szCs w:val="32"/>
        </w:rPr>
        <w:t>服务区域经济发展。</w:t>
      </w:r>
      <w:r>
        <w:rPr>
          <w:rFonts w:ascii="仿宋" w:eastAsia="仿宋" w:hAnsi="仿宋" w:cs="仿宋" w:hint="eastAsia"/>
          <w:color w:val="000000"/>
          <w:sz w:val="32"/>
          <w:szCs w:val="32"/>
        </w:rPr>
        <w:t>主动服务中医药强省战略，在实施中医药“产业振兴”工程中争先进、当表率。加强与各地方政府、兄弟单位、知名企业等开展战略合作，提升产学研联合攻关水平，推动创新链与产业链深度融合。</w:t>
      </w:r>
    </w:p>
    <w:p w:rsidR="003B2E49" w:rsidRDefault="00A5413E" w:rsidP="00EA75C5">
      <w:pPr>
        <w:spacing w:line="560" w:lineRule="exact"/>
        <w:ind w:firstLineChars="200" w:firstLine="643"/>
        <w:rPr>
          <w:rFonts w:ascii="仿宋" w:eastAsia="仿宋" w:hAnsi="仿宋" w:cs="仿宋"/>
          <w:color w:val="000000"/>
          <w:sz w:val="32"/>
          <w:szCs w:val="32"/>
        </w:rPr>
      </w:pPr>
      <w:r>
        <w:rPr>
          <w:rFonts w:ascii="仿宋" w:eastAsia="仿宋" w:hAnsi="仿宋" w:cs="仿宋" w:hint="eastAsia"/>
          <w:b/>
          <w:color w:val="000000"/>
          <w:sz w:val="32"/>
          <w:szCs w:val="32"/>
        </w:rPr>
        <w:t>进一步</w:t>
      </w:r>
      <w:r>
        <w:rPr>
          <w:rFonts w:ascii="仿宋" w:eastAsia="仿宋" w:hAnsi="仿宋" w:cs="仿宋" w:hint="eastAsia"/>
          <w:b/>
          <w:bCs/>
          <w:color w:val="000000"/>
          <w:sz w:val="32"/>
          <w:szCs w:val="32"/>
        </w:rPr>
        <w:t>推进成果转化。</w:t>
      </w:r>
      <w:r>
        <w:rPr>
          <w:rFonts w:ascii="仿宋" w:eastAsia="仿宋" w:hAnsi="仿宋" w:cs="仿宋" w:hint="eastAsia"/>
          <w:color w:val="000000"/>
          <w:sz w:val="32"/>
          <w:szCs w:val="32"/>
        </w:rPr>
        <w:t>加强成果培育过程管理，优化高水平成果结构，有组织地布局与院内优势特色相适应，对接社会产业需要的成果库，产生一批促进湖南省社会经济发展的高水平科研成果，</w:t>
      </w:r>
      <w:r>
        <w:rPr>
          <w:rFonts w:ascii="仿宋" w:eastAsia="仿宋" w:hAnsi="仿宋" w:cs="仿宋" w:hint="eastAsia"/>
          <w:bCs/>
          <w:sz w:val="32"/>
          <w:szCs w:val="32"/>
        </w:rPr>
        <w:t>积极争取省科技进步奖1</w:t>
      </w:r>
      <w:r>
        <w:rPr>
          <w:rFonts w:ascii="仿宋" w:eastAsia="仿宋" w:hAnsi="仿宋" w:cs="仿宋" w:hint="eastAsia"/>
          <w:sz w:val="32"/>
          <w:szCs w:val="32"/>
        </w:rPr>
        <w:t>-</w:t>
      </w:r>
      <w:r>
        <w:rPr>
          <w:rFonts w:ascii="仿宋" w:eastAsia="仿宋" w:hAnsi="仿宋" w:cs="仿宋" w:hint="eastAsia"/>
          <w:bCs/>
          <w:sz w:val="32"/>
          <w:szCs w:val="32"/>
        </w:rPr>
        <w:t>2项，力争</w:t>
      </w:r>
      <w:r>
        <w:rPr>
          <w:rFonts w:ascii="仿宋" w:eastAsia="仿宋" w:hAnsi="仿宋" w:cs="仿宋" w:hint="eastAsia"/>
          <w:color w:val="000000"/>
          <w:sz w:val="32"/>
          <w:szCs w:val="32"/>
        </w:rPr>
        <w:t>技术开发合同保持2000万元以上。</w:t>
      </w:r>
    </w:p>
    <w:p w:rsidR="003B2E49" w:rsidRDefault="00A5413E" w:rsidP="00EA75C5">
      <w:pPr>
        <w:pStyle w:val="2"/>
        <w:spacing w:line="560" w:lineRule="exact"/>
        <w:ind w:firstLineChars="200" w:firstLine="643"/>
        <w:rPr>
          <w:rFonts w:ascii="仿宋" w:eastAsia="仿宋" w:hAnsi="仿宋" w:cs="仿宋"/>
          <w:b/>
          <w:bCs/>
          <w:color w:val="000000"/>
          <w:szCs w:val="32"/>
        </w:rPr>
      </w:pPr>
      <w:r>
        <w:rPr>
          <w:rFonts w:ascii="仿宋" w:eastAsia="仿宋" w:hAnsi="仿宋" w:cs="仿宋" w:hint="eastAsia"/>
          <w:b/>
          <w:bCs/>
          <w:color w:val="000000"/>
          <w:szCs w:val="32"/>
        </w:rPr>
        <w:t>5、全面改善办院条件</w:t>
      </w:r>
    </w:p>
    <w:p w:rsidR="003B2E49" w:rsidRDefault="00A5413E" w:rsidP="00EA75C5">
      <w:pPr>
        <w:pStyle w:val="2"/>
        <w:spacing w:line="560" w:lineRule="exact"/>
        <w:ind w:firstLineChars="200" w:firstLine="643"/>
        <w:rPr>
          <w:rFonts w:ascii="仿宋" w:eastAsia="仿宋" w:hAnsi="仿宋" w:cs="仿宋"/>
          <w:szCs w:val="32"/>
        </w:rPr>
      </w:pPr>
      <w:r>
        <w:rPr>
          <w:rFonts w:ascii="仿宋" w:eastAsia="仿宋" w:hAnsi="仿宋" w:cs="仿宋" w:hint="eastAsia"/>
          <w:b/>
          <w:bCs/>
          <w:color w:val="000000"/>
          <w:szCs w:val="32"/>
        </w:rPr>
        <w:lastRenderedPageBreak/>
        <w:t>推动枫林改造工作。</w:t>
      </w:r>
      <w:r>
        <w:rPr>
          <w:rFonts w:ascii="仿宋" w:eastAsia="仿宋" w:hAnsi="仿宋" w:cs="仿宋" w:hint="eastAsia"/>
          <w:szCs w:val="32"/>
        </w:rPr>
        <w:t>科学统筹枫林并入后两院规划和改造工作，以建设“一流医院”为目标，以可持续性发展设计为理念，做到就医环境与自然环境相协调，打造全新的生态园林式的绿色中医医院。</w:t>
      </w:r>
    </w:p>
    <w:p w:rsidR="003B2E49" w:rsidRDefault="00A5413E" w:rsidP="00EA75C5">
      <w:pPr>
        <w:spacing w:line="560" w:lineRule="exact"/>
        <w:ind w:firstLineChars="200" w:firstLine="643"/>
        <w:rPr>
          <w:rFonts w:ascii="仿宋" w:eastAsia="仿宋" w:hAnsi="仿宋" w:cs="仿宋"/>
          <w:sz w:val="32"/>
          <w:szCs w:val="32"/>
        </w:rPr>
      </w:pPr>
      <w:r>
        <w:rPr>
          <w:rFonts w:ascii="仿宋" w:eastAsia="仿宋" w:hAnsi="仿宋" w:cs="仿宋" w:hint="eastAsia"/>
          <w:b/>
          <w:bCs/>
          <w:color w:val="000000"/>
          <w:sz w:val="32"/>
          <w:szCs w:val="32"/>
        </w:rPr>
        <w:t>推动中医药传承创新大楼建设。</w:t>
      </w:r>
      <w:r>
        <w:rPr>
          <w:rFonts w:ascii="仿宋" w:eastAsia="仿宋" w:hAnsi="仿宋" w:cs="仿宋" w:hint="eastAsia"/>
          <w:sz w:val="32"/>
          <w:szCs w:val="32"/>
        </w:rPr>
        <w:t>稳步推进项目工程的施工建设，扎实做好质量管理，在全力确保工程施工安全的前提下加快工程进度，力争早日竣工交付使用。</w:t>
      </w:r>
    </w:p>
    <w:p w:rsidR="003B2E49" w:rsidRDefault="00A5413E" w:rsidP="00EA75C5">
      <w:pPr>
        <w:spacing w:line="560" w:lineRule="exact"/>
        <w:ind w:firstLineChars="200" w:firstLine="643"/>
        <w:rPr>
          <w:rFonts w:ascii="仿宋" w:eastAsia="仿宋" w:hAnsi="仿宋" w:cs="仿宋"/>
          <w:sz w:val="32"/>
          <w:szCs w:val="32"/>
        </w:rPr>
      </w:pPr>
      <w:r>
        <w:rPr>
          <w:rFonts w:ascii="仿宋" w:eastAsia="仿宋" w:hAnsi="仿宋" w:cs="仿宋" w:hint="eastAsia"/>
          <w:b/>
          <w:bCs/>
          <w:color w:val="000000"/>
          <w:sz w:val="32"/>
          <w:szCs w:val="32"/>
        </w:rPr>
        <w:t>推动“平安研究院”建设。</w:t>
      </w:r>
      <w:r>
        <w:rPr>
          <w:rFonts w:ascii="仿宋" w:eastAsia="仿宋" w:hAnsi="仿宋" w:cs="仿宋" w:hint="eastAsia"/>
          <w:color w:val="000000"/>
          <w:sz w:val="32"/>
          <w:szCs w:val="32"/>
        </w:rPr>
        <w:t>牢固树立总体国家安全观，</w:t>
      </w:r>
      <w:r>
        <w:rPr>
          <w:rFonts w:ascii="仿宋" w:eastAsia="仿宋" w:hAnsi="仿宋" w:cs="仿宋" w:hint="eastAsia"/>
          <w:sz w:val="32"/>
          <w:szCs w:val="32"/>
        </w:rPr>
        <w:t xml:space="preserve">统筹做好国家安全、意识形态安全、信息安全、综合治理等工作，及时妥善处置各类突发事件，切实维护研究院安全稳定。 </w:t>
      </w:r>
    </w:p>
    <w:p w:rsidR="003B2E49" w:rsidRDefault="00A5413E" w:rsidP="00EA75C5">
      <w:pPr>
        <w:pStyle w:val="2"/>
        <w:spacing w:line="560" w:lineRule="exact"/>
        <w:ind w:firstLineChars="200" w:firstLine="643"/>
        <w:rPr>
          <w:rFonts w:ascii="仿宋" w:eastAsia="仿宋" w:hAnsi="仿宋" w:cs="仿宋"/>
          <w:b/>
          <w:bCs/>
          <w:color w:val="000000"/>
          <w:szCs w:val="32"/>
        </w:rPr>
      </w:pPr>
      <w:r>
        <w:rPr>
          <w:rFonts w:ascii="仿宋" w:eastAsia="仿宋" w:hAnsi="仿宋" w:cs="仿宋" w:hint="eastAsia"/>
          <w:b/>
          <w:bCs/>
          <w:color w:val="000000"/>
          <w:szCs w:val="32"/>
        </w:rPr>
        <w:t>6、全面完善治理体系</w:t>
      </w:r>
    </w:p>
    <w:p w:rsidR="003B2E49" w:rsidRDefault="00A5413E" w:rsidP="00EA75C5">
      <w:pPr>
        <w:pStyle w:val="a3"/>
        <w:spacing w:after="0" w:line="560" w:lineRule="exact"/>
        <w:ind w:firstLineChars="200" w:firstLine="643"/>
        <w:rPr>
          <w:rFonts w:ascii="仿宋" w:eastAsia="仿宋" w:hAnsi="仿宋" w:cs="仿宋"/>
          <w:kern w:val="21"/>
          <w:sz w:val="32"/>
          <w:szCs w:val="32"/>
        </w:rPr>
      </w:pPr>
      <w:r>
        <w:rPr>
          <w:rFonts w:ascii="仿宋" w:eastAsia="仿宋" w:hAnsi="仿宋" w:cs="仿宋" w:hint="eastAsia"/>
          <w:b/>
          <w:bCs/>
          <w:sz w:val="32"/>
          <w:szCs w:val="32"/>
        </w:rPr>
        <w:t>深化体制机制改革。</w:t>
      </w:r>
      <w:r>
        <w:rPr>
          <w:rFonts w:ascii="仿宋" w:eastAsia="仿宋" w:hAnsi="仿宋" w:cs="仿宋" w:hint="eastAsia"/>
          <w:sz w:val="32"/>
          <w:szCs w:val="32"/>
        </w:rPr>
        <w:t>完成“三定”工作，科学调整内设机构、职能配置、人员编制、干部职数设置，完善干部配备，做好干部选拔任用、监督管理和教育培训。</w:t>
      </w:r>
      <w:r>
        <w:rPr>
          <w:rFonts w:ascii="仿宋" w:eastAsia="仿宋" w:hAnsi="仿宋" w:cs="仿宋" w:hint="eastAsia"/>
          <w:kern w:val="21"/>
          <w:sz w:val="32"/>
          <w:szCs w:val="32"/>
        </w:rPr>
        <w:t>完善选人用人机制，不断优化干部队伍结构，提升整体素质，增强队伍活力。</w:t>
      </w:r>
    </w:p>
    <w:p w:rsidR="003B2E49" w:rsidRDefault="00A5413E">
      <w:pPr>
        <w:spacing w:line="560" w:lineRule="exact"/>
        <w:ind w:right="156" w:firstLine="615"/>
        <w:rPr>
          <w:rFonts w:ascii="Times New Roman" w:eastAsia="黑体" w:hAnsi="Times New Roman" w:cs="Times New Roman"/>
          <w:sz w:val="32"/>
          <w:szCs w:val="32"/>
        </w:rPr>
      </w:pPr>
      <w:r>
        <w:rPr>
          <w:rFonts w:ascii="仿宋" w:eastAsia="仿宋" w:hAnsi="仿宋" w:cs="仿宋" w:hint="eastAsia"/>
          <w:b/>
          <w:bCs/>
          <w:sz w:val="32"/>
          <w:szCs w:val="32"/>
        </w:rPr>
        <w:t>健全支撑保障体系。</w:t>
      </w:r>
      <w:r>
        <w:rPr>
          <w:rFonts w:ascii="仿宋" w:eastAsia="仿宋" w:hAnsi="仿宋" w:cs="仿宋" w:hint="eastAsia"/>
          <w:sz w:val="32"/>
          <w:szCs w:val="32"/>
        </w:rPr>
        <w:t>加强多渠道资源筹措能力，深化财务制度改革，健全完善财务管理制度，进一步提高资金使用效率，增强资金统筹能力。加强国有资产管理，完善资源配置机制，全面盘活存量资产。加强招标采购制度建设，完善风险防控体系。加强审计监督，深入推进经济责任审计。优化移动办公平台，确保各项工作科学、有序、高效运转。</w:t>
      </w:r>
    </w:p>
    <w:p w:rsidR="003B2E49" w:rsidRDefault="00A5413E">
      <w:pPr>
        <w:pStyle w:val="Style3"/>
        <w:widowControl/>
        <w:spacing w:line="500" w:lineRule="exact"/>
        <w:ind w:left="630" w:firstLineChars="0" w:firstLine="0"/>
        <w:rPr>
          <w:rFonts w:ascii="Times New Roman" w:eastAsia="黑体" w:hAnsi="Times New Roman"/>
          <w:sz w:val="32"/>
          <w:szCs w:val="32"/>
        </w:rPr>
      </w:pPr>
      <w:r>
        <w:rPr>
          <w:rFonts w:ascii="Times New Roman" w:eastAsia="黑体" w:hAnsi="Times New Roman" w:hint="eastAsia"/>
          <w:sz w:val="32"/>
          <w:szCs w:val="32"/>
        </w:rPr>
        <w:t>九、绩效自评结果拟应用和公开情况</w:t>
      </w:r>
    </w:p>
    <w:p w:rsidR="003B2E49" w:rsidRDefault="00A5413E">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我院将针对本部门绩效自评中存在的问题，及时调整和优化本部门后续项目和以后年度预算支出的方向和结构，合理配置资源，加强财务管理，建立激励与约束机制，强化评价结果在项目申报和预算编制中的有效应用。</w:t>
      </w:r>
    </w:p>
    <w:p w:rsidR="003B2E49" w:rsidRDefault="00A5413E">
      <w:pPr>
        <w:spacing w:line="500" w:lineRule="exact"/>
        <w:ind w:firstLineChars="200" w:firstLine="640"/>
        <w:rPr>
          <w:rFonts w:ascii="仿宋_GB2312" w:eastAsia="仿宋_GB2312" w:hAnsi="仿宋" w:cs="仿宋"/>
          <w:sz w:val="32"/>
          <w:szCs w:val="32"/>
        </w:rPr>
      </w:pPr>
      <w:r>
        <w:rPr>
          <w:rFonts w:ascii="仿宋" w:eastAsia="仿宋" w:hAnsi="仿宋" w:cs="仿宋" w:hint="eastAsia"/>
          <w:sz w:val="32"/>
          <w:szCs w:val="32"/>
        </w:rPr>
        <w:t>我院绩效自评情况将在我院进行公开，接受各方监督</w:t>
      </w:r>
      <w:r>
        <w:rPr>
          <w:rFonts w:ascii="仿宋_GB2312" w:eastAsia="仿宋_GB2312" w:hAnsi="仿宋" w:cs="仿宋" w:hint="eastAsia"/>
          <w:sz w:val="32"/>
          <w:szCs w:val="32"/>
        </w:rPr>
        <w:t>。</w:t>
      </w:r>
    </w:p>
    <w:p w:rsidR="003B2E49" w:rsidRDefault="00A5413E">
      <w:pPr>
        <w:pStyle w:val="Style3"/>
        <w:widowControl/>
        <w:spacing w:line="500" w:lineRule="exact"/>
        <w:ind w:left="630" w:firstLineChars="0" w:firstLine="0"/>
        <w:rPr>
          <w:rFonts w:ascii="Times New Roman" w:eastAsia="黑体" w:hAnsi="Times New Roman"/>
          <w:sz w:val="32"/>
          <w:szCs w:val="32"/>
        </w:rPr>
      </w:pPr>
      <w:r>
        <w:rPr>
          <w:rFonts w:ascii="Times New Roman" w:eastAsia="黑体" w:hAnsi="Times New Roman" w:hint="eastAsia"/>
          <w:sz w:val="32"/>
          <w:szCs w:val="32"/>
        </w:rPr>
        <w:t>十、其他需要说明的情况</w:t>
      </w:r>
    </w:p>
    <w:p w:rsidR="003B2E49" w:rsidRDefault="00A5413E">
      <w:pPr>
        <w:spacing w:line="500" w:lineRule="exact"/>
        <w:rPr>
          <w:rFonts w:ascii="仿宋" w:eastAsia="仿宋" w:hAnsi="仿宋" w:cs="仿宋"/>
          <w:sz w:val="28"/>
          <w:szCs w:val="28"/>
        </w:rPr>
      </w:pPr>
      <w:r>
        <w:rPr>
          <w:rFonts w:ascii="仿宋" w:eastAsia="仿宋" w:hAnsi="仿宋" w:cs="仿宋" w:hint="eastAsia"/>
          <w:sz w:val="28"/>
          <w:szCs w:val="28"/>
        </w:rPr>
        <w:t xml:space="preserve">      无。</w:t>
      </w:r>
    </w:p>
    <w:p w:rsidR="003B2E49" w:rsidRDefault="003B2E49">
      <w:pPr>
        <w:pStyle w:val="a3"/>
        <w:rPr>
          <w:rFonts w:ascii="黑体" w:eastAsia="黑体" w:cs="黑体"/>
          <w:color w:val="000000"/>
          <w:kern w:val="0"/>
          <w:sz w:val="70"/>
          <w:szCs w:val="70"/>
        </w:rPr>
      </w:pPr>
    </w:p>
    <w:sectPr w:rsidR="003B2E49" w:rsidSect="003B2E4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941" w:rsidRDefault="000B0941" w:rsidP="00EA75C5">
      <w:r>
        <w:separator/>
      </w:r>
    </w:p>
  </w:endnote>
  <w:endnote w:type="continuationSeparator" w:id="0">
    <w:p w:rsidR="000B0941" w:rsidRDefault="000B0941" w:rsidP="00EA75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_GBK">
    <w:altName w:val="Arial Unicode MS"/>
    <w:charset w:val="86"/>
    <w:family w:val="script"/>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941" w:rsidRDefault="000B0941" w:rsidP="00EA75C5">
      <w:r>
        <w:separator/>
      </w:r>
    </w:p>
  </w:footnote>
  <w:footnote w:type="continuationSeparator" w:id="0">
    <w:p w:rsidR="000B0941" w:rsidRDefault="000B0941" w:rsidP="00EA75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8206AD"/>
    <w:multiLevelType w:val="multilevel"/>
    <w:tmpl w:val="318206AD"/>
    <w:lvl w:ilvl="0">
      <w:start w:val="1"/>
      <w:numFmt w:val="japaneseCounting"/>
      <w:lvlText w:val="%1、"/>
      <w:lvlJc w:val="left"/>
      <w:pPr>
        <w:ind w:left="1350" w:hanging="7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79AC1E24"/>
    <w:multiLevelType w:val="multilevel"/>
    <w:tmpl w:val="79AC1E24"/>
    <w:lvl w:ilvl="0">
      <w:start w:val="1"/>
      <w:numFmt w:val="japaneseCounting"/>
      <w:lvlText w:val="（%1）"/>
      <w:lvlJc w:val="left"/>
      <w:pPr>
        <w:ind w:left="1710" w:hanging="1080"/>
      </w:p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I4ODZlNzYzNDM5N2E0Yjg2MTU0YzM3Y2QyYTRmNmYifQ=="/>
  </w:docVars>
  <w:rsids>
    <w:rsidRoot w:val="004506F9"/>
    <w:rsid w:val="000061C7"/>
    <w:rsid w:val="0002229B"/>
    <w:rsid w:val="000273BD"/>
    <w:rsid w:val="000415B7"/>
    <w:rsid w:val="00041E3F"/>
    <w:rsid w:val="00055DAA"/>
    <w:rsid w:val="00061F7B"/>
    <w:rsid w:val="000658A3"/>
    <w:rsid w:val="00074155"/>
    <w:rsid w:val="000873EF"/>
    <w:rsid w:val="000A3F69"/>
    <w:rsid w:val="000A6315"/>
    <w:rsid w:val="000B0941"/>
    <w:rsid w:val="000B781D"/>
    <w:rsid w:val="000C24BC"/>
    <w:rsid w:val="00103957"/>
    <w:rsid w:val="00124A1F"/>
    <w:rsid w:val="001259B0"/>
    <w:rsid w:val="00152C6D"/>
    <w:rsid w:val="00162D39"/>
    <w:rsid w:val="001678BD"/>
    <w:rsid w:val="00182373"/>
    <w:rsid w:val="001A67DB"/>
    <w:rsid w:val="001C3C29"/>
    <w:rsid w:val="001D51E5"/>
    <w:rsid w:val="001E080D"/>
    <w:rsid w:val="001E53D0"/>
    <w:rsid w:val="001F0C3B"/>
    <w:rsid w:val="001F640F"/>
    <w:rsid w:val="00202C14"/>
    <w:rsid w:val="00202C82"/>
    <w:rsid w:val="00214427"/>
    <w:rsid w:val="00226CB7"/>
    <w:rsid w:val="00264552"/>
    <w:rsid w:val="00264EF9"/>
    <w:rsid w:val="00265724"/>
    <w:rsid w:val="0027426B"/>
    <w:rsid w:val="00296B41"/>
    <w:rsid w:val="002E0A30"/>
    <w:rsid w:val="003130C4"/>
    <w:rsid w:val="00316C4B"/>
    <w:rsid w:val="0032192B"/>
    <w:rsid w:val="00327B2A"/>
    <w:rsid w:val="003479BD"/>
    <w:rsid w:val="00347F79"/>
    <w:rsid w:val="00356828"/>
    <w:rsid w:val="00362293"/>
    <w:rsid w:val="0037197D"/>
    <w:rsid w:val="003768D5"/>
    <w:rsid w:val="003B2E49"/>
    <w:rsid w:val="003C28C5"/>
    <w:rsid w:val="003C4197"/>
    <w:rsid w:val="003C47E6"/>
    <w:rsid w:val="003C4FC2"/>
    <w:rsid w:val="003E2331"/>
    <w:rsid w:val="00416E61"/>
    <w:rsid w:val="00423C8A"/>
    <w:rsid w:val="0042790C"/>
    <w:rsid w:val="004506F9"/>
    <w:rsid w:val="00470E0D"/>
    <w:rsid w:val="004717A2"/>
    <w:rsid w:val="00473DF3"/>
    <w:rsid w:val="00476935"/>
    <w:rsid w:val="00487911"/>
    <w:rsid w:val="00491741"/>
    <w:rsid w:val="004950ED"/>
    <w:rsid w:val="004B0CEE"/>
    <w:rsid w:val="00500E5F"/>
    <w:rsid w:val="005122EF"/>
    <w:rsid w:val="0051441A"/>
    <w:rsid w:val="00517C33"/>
    <w:rsid w:val="00517D5F"/>
    <w:rsid w:val="00521AF2"/>
    <w:rsid w:val="00523644"/>
    <w:rsid w:val="0054064B"/>
    <w:rsid w:val="0054069E"/>
    <w:rsid w:val="00544866"/>
    <w:rsid w:val="00563AC9"/>
    <w:rsid w:val="00564ADB"/>
    <w:rsid w:val="005767CC"/>
    <w:rsid w:val="005868A4"/>
    <w:rsid w:val="00590D9F"/>
    <w:rsid w:val="00595D26"/>
    <w:rsid w:val="005A262B"/>
    <w:rsid w:val="005A74E6"/>
    <w:rsid w:val="005B404E"/>
    <w:rsid w:val="005D4D55"/>
    <w:rsid w:val="005E2CFB"/>
    <w:rsid w:val="005F2103"/>
    <w:rsid w:val="005F3D1C"/>
    <w:rsid w:val="00617DED"/>
    <w:rsid w:val="0062378F"/>
    <w:rsid w:val="00641842"/>
    <w:rsid w:val="00651EEC"/>
    <w:rsid w:val="00686673"/>
    <w:rsid w:val="00687703"/>
    <w:rsid w:val="00691E8C"/>
    <w:rsid w:val="006A22C4"/>
    <w:rsid w:val="006A348B"/>
    <w:rsid w:val="006A351B"/>
    <w:rsid w:val="006B0422"/>
    <w:rsid w:val="006C1B53"/>
    <w:rsid w:val="006C6E02"/>
    <w:rsid w:val="006D7730"/>
    <w:rsid w:val="006E5284"/>
    <w:rsid w:val="006F3EB5"/>
    <w:rsid w:val="00702E34"/>
    <w:rsid w:val="00704395"/>
    <w:rsid w:val="00704AF1"/>
    <w:rsid w:val="00710FE7"/>
    <w:rsid w:val="00716F3B"/>
    <w:rsid w:val="00717621"/>
    <w:rsid w:val="00720FF1"/>
    <w:rsid w:val="00727A53"/>
    <w:rsid w:val="00734194"/>
    <w:rsid w:val="00747D60"/>
    <w:rsid w:val="00750771"/>
    <w:rsid w:val="00767EB7"/>
    <w:rsid w:val="00783AD9"/>
    <w:rsid w:val="00787B42"/>
    <w:rsid w:val="007B0AAB"/>
    <w:rsid w:val="007C4539"/>
    <w:rsid w:val="007C6EA1"/>
    <w:rsid w:val="007D7265"/>
    <w:rsid w:val="007F33D7"/>
    <w:rsid w:val="007F3657"/>
    <w:rsid w:val="00812ED5"/>
    <w:rsid w:val="008277D9"/>
    <w:rsid w:val="00832046"/>
    <w:rsid w:val="0084478C"/>
    <w:rsid w:val="00851302"/>
    <w:rsid w:val="0085730E"/>
    <w:rsid w:val="0086638C"/>
    <w:rsid w:val="00893D40"/>
    <w:rsid w:val="008A3E8D"/>
    <w:rsid w:val="008B2660"/>
    <w:rsid w:val="008D3AE8"/>
    <w:rsid w:val="009237C4"/>
    <w:rsid w:val="009311A6"/>
    <w:rsid w:val="0093561D"/>
    <w:rsid w:val="00944C48"/>
    <w:rsid w:val="00950252"/>
    <w:rsid w:val="00967F5D"/>
    <w:rsid w:val="00972187"/>
    <w:rsid w:val="00991B88"/>
    <w:rsid w:val="009A0F95"/>
    <w:rsid w:val="009B3ADF"/>
    <w:rsid w:val="009C3B52"/>
    <w:rsid w:val="009E03E2"/>
    <w:rsid w:val="009E6817"/>
    <w:rsid w:val="009E6E9A"/>
    <w:rsid w:val="00A01D2B"/>
    <w:rsid w:val="00A42218"/>
    <w:rsid w:val="00A5413E"/>
    <w:rsid w:val="00A70249"/>
    <w:rsid w:val="00A70B02"/>
    <w:rsid w:val="00A71D9F"/>
    <w:rsid w:val="00A92E9F"/>
    <w:rsid w:val="00A97465"/>
    <w:rsid w:val="00AC38B0"/>
    <w:rsid w:val="00AE1FB6"/>
    <w:rsid w:val="00B27394"/>
    <w:rsid w:val="00B33BEA"/>
    <w:rsid w:val="00B41B74"/>
    <w:rsid w:val="00B57C9F"/>
    <w:rsid w:val="00B63572"/>
    <w:rsid w:val="00B675AA"/>
    <w:rsid w:val="00B816D6"/>
    <w:rsid w:val="00B845B3"/>
    <w:rsid w:val="00B85D8B"/>
    <w:rsid w:val="00BA1C29"/>
    <w:rsid w:val="00BA7B84"/>
    <w:rsid w:val="00BB4A40"/>
    <w:rsid w:val="00BD6C3E"/>
    <w:rsid w:val="00BE3674"/>
    <w:rsid w:val="00BF74C7"/>
    <w:rsid w:val="00C10681"/>
    <w:rsid w:val="00C3049A"/>
    <w:rsid w:val="00C31B1E"/>
    <w:rsid w:val="00C32A00"/>
    <w:rsid w:val="00C55F98"/>
    <w:rsid w:val="00C77645"/>
    <w:rsid w:val="00C928B5"/>
    <w:rsid w:val="00CC34EA"/>
    <w:rsid w:val="00CE04C3"/>
    <w:rsid w:val="00CE76A0"/>
    <w:rsid w:val="00D148C6"/>
    <w:rsid w:val="00D17A8A"/>
    <w:rsid w:val="00D415BA"/>
    <w:rsid w:val="00D56B78"/>
    <w:rsid w:val="00D63780"/>
    <w:rsid w:val="00D644EE"/>
    <w:rsid w:val="00D72068"/>
    <w:rsid w:val="00D75489"/>
    <w:rsid w:val="00DD06FF"/>
    <w:rsid w:val="00DD50D9"/>
    <w:rsid w:val="00DD5FE9"/>
    <w:rsid w:val="00DD6900"/>
    <w:rsid w:val="00E00C7A"/>
    <w:rsid w:val="00E1323D"/>
    <w:rsid w:val="00E209CF"/>
    <w:rsid w:val="00E24DA4"/>
    <w:rsid w:val="00E37D6C"/>
    <w:rsid w:val="00E51612"/>
    <w:rsid w:val="00E55B68"/>
    <w:rsid w:val="00E620DF"/>
    <w:rsid w:val="00E63851"/>
    <w:rsid w:val="00E67BE6"/>
    <w:rsid w:val="00E8086C"/>
    <w:rsid w:val="00E8683C"/>
    <w:rsid w:val="00E93197"/>
    <w:rsid w:val="00EA2B72"/>
    <w:rsid w:val="00EA5CBE"/>
    <w:rsid w:val="00EA72DE"/>
    <w:rsid w:val="00EA75C5"/>
    <w:rsid w:val="00EB7AFE"/>
    <w:rsid w:val="00F74360"/>
    <w:rsid w:val="00F757E4"/>
    <w:rsid w:val="00F96BA4"/>
    <w:rsid w:val="00FB462F"/>
    <w:rsid w:val="00FD197A"/>
    <w:rsid w:val="00FE16FA"/>
    <w:rsid w:val="00FE2FF8"/>
    <w:rsid w:val="00FE328A"/>
    <w:rsid w:val="00FE6269"/>
    <w:rsid w:val="00FF5CD6"/>
    <w:rsid w:val="07762B7A"/>
    <w:rsid w:val="08A74FB5"/>
    <w:rsid w:val="101F18D4"/>
    <w:rsid w:val="162437A1"/>
    <w:rsid w:val="22145011"/>
    <w:rsid w:val="28606C20"/>
    <w:rsid w:val="2A1B05EA"/>
    <w:rsid w:val="2C5D5807"/>
    <w:rsid w:val="32764F2C"/>
    <w:rsid w:val="39DA3FF3"/>
    <w:rsid w:val="3B3C3253"/>
    <w:rsid w:val="45C5024D"/>
    <w:rsid w:val="4682613E"/>
    <w:rsid w:val="4A926343"/>
    <w:rsid w:val="521F224C"/>
    <w:rsid w:val="6BB15F91"/>
    <w:rsid w:val="71134A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endnote text" w:uiPriority="0"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E4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qFormat/>
    <w:rsid w:val="003B2E49"/>
    <w:pPr>
      <w:spacing w:after="120"/>
    </w:pPr>
    <w:rPr>
      <w:rFonts w:ascii="Times New Roman" w:eastAsia="宋体" w:hAnsi="Times New Roman" w:cs="Times New Roman"/>
      <w:szCs w:val="24"/>
    </w:rPr>
  </w:style>
  <w:style w:type="paragraph" w:styleId="a4">
    <w:name w:val="Body Text Indent"/>
    <w:basedOn w:val="a"/>
    <w:link w:val="Char0"/>
    <w:uiPriority w:val="99"/>
    <w:semiHidden/>
    <w:unhideWhenUsed/>
    <w:rsid w:val="003B2E49"/>
    <w:pPr>
      <w:spacing w:after="120"/>
      <w:ind w:leftChars="200" w:left="420"/>
    </w:pPr>
  </w:style>
  <w:style w:type="paragraph" w:styleId="a5">
    <w:name w:val="endnote text"/>
    <w:basedOn w:val="a"/>
    <w:link w:val="Char1"/>
    <w:semiHidden/>
    <w:unhideWhenUsed/>
    <w:qFormat/>
    <w:rsid w:val="003B2E49"/>
    <w:rPr>
      <w:rFonts w:ascii="Times New Roman" w:eastAsia="宋体" w:hAnsi="Times New Roman" w:cs="Times New Roman"/>
      <w:szCs w:val="24"/>
    </w:rPr>
  </w:style>
  <w:style w:type="paragraph" w:styleId="a6">
    <w:name w:val="Balloon Text"/>
    <w:basedOn w:val="a"/>
    <w:link w:val="Char2"/>
    <w:uiPriority w:val="99"/>
    <w:semiHidden/>
    <w:unhideWhenUsed/>
    <w:rsid w:val="003B2E49"/>
    <w:rPr>
      <w:sz w:val="18"/>
      <w:szCs w:val="18"/>
    </w:rPr>
  </w:style>
  <w:style w:type="paragraph" w:styleId="a7">
    <w:name w:val="footer"/>
    <w:basedOn w:val="a"/>
    <w:link w:val="Char3"/>
    <w:uiPriority w:val="99"/>
    <w:unhideWhenUsed/>
    <w:rsid w:val="003B2E49"/>
    <w:pPr>
      <w:tabs>
        <w:tab w:val="center" w:pos="4153"/>
        <w:tab w:val="right" w:pos="8306"/>
      </w:tabs>
      <w:snapToGrid w:val="0"/>
      <w:jc w:val="left"/>
    </w:pPr>
    <w:rPr>
      <w:sz w:val="18"/>
      <w:szCs w:val="18"/>
    </w:rPr>
  </w:style>
  <w:style w:type="paragraph" w:styleId="a8">
    <w:name w:val="header"/>
    <w:basedOn w:val="a"/>
    <w:link w:val="Char4"/>
    <w:uiPriority w:val="99"/>
    <w:unhideWhenUsed/>
    <w:rsid w:val="003B2E49"/>
    <w:pPr>
      <w:pBdr>
        <w:bottom w:val="single" w:sz="6" w:space="1" w:color="auto"/>
      </w:pBdr>
      <w:tabs>
        <w:tab w:val="center" w:pos="4153"/>
        <w:tab w:val="right" w:pos="8306"/>
      </w:tabs>
      <w:snapToGrid w:val="0"/>
      <w:jc w:val="center"/>
    </w:pPr>
    <w:rPr>
      <w:sz w:val="18"/>
      <w:szCs w:val="18"/>
    </w:rPr>
  </w:style>
  <w:style w:type="paragraph" w:styleId="2">
    <w:name w:val="Body Text First Indent 2"/>
    <w:basedOn w:val="a4"/>
    <w:next w:val="a"/>
    <w:link w:val="2Char"/>
    <w:semiHidden/>
    <w:unhideWhenUsed/>
    <w:qFormat/>
    <w:rsid w:val="003B2E49"/>
    <w:pPr>
      <w:spacing w:after="0" w:line="440" w:lineRule="exact"/>
      <w:ind w:leftChars="0" w:left="0" w:firstLine="420"/>
    </w:pPr>
    <w:rPr>
      <w:rFonts w:ascii="仿宋_GB2312" w:eastAsia="仿宋_GB2312" w:hAnsi="Times New Roman" w:cs="Times New Roman"/>
      <w:sz w:val="32"/>
      <w:szCs w:val="20"/>
    </w:rPr>
  </w:style>
  <w:style w:type="character" w:customStyle="1" w:styleId="Char4">
    <w:name w:val="页眉 Char"/>
    <w:basedOn w:val="a0"/>
    <w:link w:val="a8"/>
    <w:uiPriority w:val="99"/>
    <w:rsid w:val="003B2E49"/>
    <w:rPr>
      <w:sz w:val="18"/>
      <w:szCs w:val="18"/>
    </w:rPr>
  </w:style>
  <w:style w:type="character" w:customStyle="1" w:styleId="Char3">
    <w:name w:val="页脚 Char"/>
    <w:basedOn w:val="a0"/>
    <w:link w:val="a7"/>
    <w:uiPriority w:val="99"/>
    <w:qFormat/>
    <w:rsid w:val="003B2E49"/>
    <w:rPr>
      <w:sz w:val="18"/>
      <w:szCs w:val="18"/>
    </w:rPr>
  </w:style>
  <w:style w:type="paragraph" w:customStyle="1" w:styleId="Default">
    <w:name w:val="Default"/>
    <w:rsid w:val="003B2E49"/>
    <w:pPr>
      <w:widowControl w:val="0"/>
      <w:autoSpaceDE w:val="0"/>
      <w:autoSpaceDN w:val="0"/>
      <w:adjustRightInd w:val="0"/>
    </w:pPr>
    <w:rPr>
      <w:rFonts w:ascii="黑体" w:eastAsia="黑体" w:cs="黑体"/>
      <w:color w:val="000000"/>
      <w:sz w:val="24"/>
      <w:szCs w:val="24"/>
    </w:rPr>
  </w:style>
  <w:style w:type="paragraph" w:styleId="a9">
    <w:name w:val="List Paragraph"/>
    <w:basedOn w:val="a"/>
    <w:uiPriority w:val="99"/>
    <w:qFormat/>
    <w:rsid w:val="003B2E49"/>
    <w:pPr>
      <w:ind w:firstLineChars="200" w:firstLine="420"/>
    </w:pPr>
  </w:style>
  <w:style w:type="character" w:customStyle="1" w:styleId="Char2">
    <w:name w:val="批注框文本 Char"/>
    <w:basedOn w:val="a0"/>
    <w:link w:val="a6"/>
    <w:uiPriority w:val="99"/>
    <w:semiHidden/>
    <w:rsid w:val="003B2E49"/>
    <w:rPr>
      <w:sz w:val="18"/>
      <w:szCs w:val="18"/>
    </w:rPr>
  </w:style>
  <w:style w:type="character" w:customStyle="1" w:styleId="Char1">
    <w:name w:val="尾注文本 Char"/>
    <w:basedOn w:val="a0"/>
    <w:link w:val="a5"/>
    <w:semiHidden/>
    <w:rsid w:val="003B2E49"/>
    <w:rPr>
      <w:rFonts w:ascii="Times New Roman" w:eastAsia="宋体" w:hAnsi="Times New Roman" w:cs="Times New Roman"/>
      <w:szCs w:val="24"/>
    </w:rPr>
  </w:style>
  <w:style w:type="character" w:customStyle="1" w:styleId="Char">
    <w:name w:val="正文文本 Char"/>
    <w:basedOn w:val="a0"/>
    <w:link w:val="a3"/>
    <w:uiPriority w:val="99"/>
    <w:rsid w:val="003B2E49"/>
    <w:rPr>
      <w:rFonts w:ascii="Times New Roman" w:eastAsia="宋体" w:hAnsi="Times New Roman" w:cs="Times New Roman"/>
      <w:szCs w:val="24"/>
    </w:rPr>
  </w:style>
  <w:style w:type="character" w:customStyle="1" w:styleId="Char0">
    <w:name w:val="正文文本缩进 Char"/>
    <w:basedOn w:val="a0"/>
    <w:link w:val="a4"/>
    <w:uiPriority w:val="99"/>
    <w:semiHidden/>
    <w:rsid w:val="003B2E49"/>
  </w:style>
  <w:style w:type="character" w:customStyle="1" w:styleId="2Char">
    <w:name w:val="正文首行缩进 2 Char"/>
    <w:basedOn w:val="Char0"/>
    <w:link w:val="2"/>
    <w:semiHidden/>
    <w:rsid w:val="003B2E49"/>
    <w:rPr>
      <w:rFonts w:ascii="仿宋_GB2312" w:eastAsia="仿宋_GB2312" w:hAnsi="Times New Roman" w:cs="Times New Roman"/>
      <w:sz w:val="32"/>
      <w:szCs w:val="20"/>
    </w:rPr>
  </w:style>
  <w:style w:type="paragraph" w:customStyle="1" w:styleId="Style3">
    <w:name w:val="_Style 3"/>
    <w:basedOn w:val="a"/>
    <w:uiPriority w:val="99"/>
    <w:qFormat/>
    <w:rsid w:val="003B2E49"/>
    <w:pPr>
      <w:ind w:firstLineChars="200" w:firstLine="420"/>
    </w:pPr>
    <w:rPr>
      <w:rFonts w:ascii="Calibri" w:eastAsia="宋体" w:hAnsi="Calibri" w:cs="Times New Roman"/>
    </w:rPr>
  </w:style>
  <w:style w:type="character" w:customStyle="1" w:styleId="NormalCharacter">
    <w:name w:val="NormalCharacter"/>
    <w:semiHidden/>
    <w:qFormat/>
    <w:rsid w:val="003B2E4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448E4-72E4-4813-9922-3FCF9655F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40</Pages>
  <Words>3880</Words>
  <Characters>22119</Characters>
  <Application>Microsoft Office Word</Application>
  <DocSecurity>0</DocSecurity>
  <Lines>184</Lines>
  <Paragraphs>51</Paragraphs>
  <ScaleCrop>false</ScaleCrop>
  <Company>Microsoft</Company>
  <LinksUpToDate>false</LinksUpToDate>
  <CharactersWithSpaces>25948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user</cp:lastModifiedBy>
  <cp:revision>299</cp:revision>
  <cp:lastPrinted>2022-07-27T12:55:00Z</cp:lastPrinted>
  <dcterms:created xsi:type="dcterms:W3CDTF">2020-07-02T02:32:00Z</dcterms:created>
  <dcterms:modified xsi:type="dcterms:W3CDTF">2023-09-25T09:30:00Z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837865D2ADC3499CABE72F61B5C823DA</vt:lpwstr>
  </property>
</Properties>
</file>